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C579CB" w:rsidRDefault="00C579CB" w14:paraId="60BE037B" w14:textId="77777777">
      <w:pPr>
        <w:spacing w:after="200" w:line="480" w:lineRule="auto"/>
        <w:rPr>
          <w:rFonts w:ascii="Helvetica" w:hAnsi="Helvetica"/>
          <w:sz w:val="14"/>
        </w:rPr>
      </w:pPr>
      <w:r>
        <w:rPr>
          <w:rFonts w:ascii="Helvetica" w:hAnsi="Helvetica"/>
          <w:sz w:val="14"/>
        </w:rPr>
        <w:t>Department of Physics</w:t>
      </w:r>
    </w:p>
    <w:p w:rsidR="00C579CB" w:rsidRDefault="00C24AF4" w14:paraId="749865D0" w14:textId="77777777">
      <w:pPr>
        <w:ind w:left="-90"/>
      </w:pPr>
      <w:r>
        <w:rPr>
          <w:noProof/>
        </w:rPr>
        <w:drawing>
          <wp:inline distT="0" distB="0" distL="0" distR="0" wp14:anchorId="47C34CCD" wp14:editId="2A662AF1">
            <wp:extent cx="1955800" cy="723900"/>
            <wp:effectExtent l="0" t="0" r="0" b="0"/>
            <wp:docPr id="1" name="Picture 1" descr="BNL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NLlogo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9CB" w:rsidRDefault="00C579CB" w14:paraId="1586DE7E" w14:textId="77777777">
      <w:pPr>
        <w:ind w:left="-90"/>
      </w:pPr>
    </w:p>
    <w:p w:rsidR="00C579CB" w:rsidRDefault="00C579CB" w14:paraId="72123A0C" w14:textId="77777777"/>
    <w:p w:rsidR="00C579CB" w:rsidRDefault="00C579CB" w14:paraId="4049D9FE" w14:textId="77777777">
      <w:pPr>
        <w:jc w:val="right"/>
        <w:rPr>
          <w:rFonts w:ascii="Helvetica" w:hAnsi="Helvetica"/>
          <w:sz w:val="14"/>
        </w:rPr>
      </w:pPr>
      <w:r>
        <w:rPr>
          <w:rFonts w:ascii="Helvetica" w:hAnsi="Helvetica"/>
          <w:sz w:val="14"/>
        </w:rPr>
        <w:t>Building 510C</w:t>
      </w:r>
    </w:p>
    <w:p w:rsidR="00C579CB" w:rsidRDefault="00C579CB" w14:paraId="6C3CB405" w14:textId="77777777">
      <w:pPr>
        <w:jc w:val="right"/>
        <w:rPr>
          <w:rFonts w:ascii="Helvetica" w:hAnsi="Helvetica"/>
          <w:sz w:val="14"/>
        </w:rPr>
      </w:pPr>
      <w:r>
        <w:rPr>
          <w:rFonts w:ascii="Helvetica" w:hAnsi="Helvetica"/>
          <w:sz w:val="14"/>
        </w:rPr>
        <w:t>P.O. Box 5000</w:t>
      </w:r>
    </w:p>
    <w:p w:rsidR="00C579CB" w:rsidRDefault="00C579CB" w14:paraId="6FD32058" w14:textId="77777777">
      <w:pPr>
        <w:jc w:val="right"/>
        <w:rPr>
          <w:rFonts w:ascii="Helvetica" w:hAnsi="Helvetica"/>
          <w:sz w:val="14"/>
        </w:rPr>
      </w:pPr>
      <w:r>
        <w:rPr>
          <w:rFonts w:ascii="Helvetica" w:hAnsi="Helvetica"/>
          <w:sz w:val="14"/>
        </w:rPr>
        <w:t>Upton, NY 11973-5000</w:t>
      </w:r>
    </w:p>
    <w:p w:rsidR="00C579CB" w:rsidRDefault="00C579CB" w14:paraId="118CCBFA" w14:textId="77777777">
      <w:pPr>
        <w:jc w:val="right"/>
        <w:rPr>
          <w:rFonts w:ascii="Helvetica" w:hAnsi="Helvetica"/>
          <w:sz w:val="14"/>
        </w:rPr>
      </w:pPr>
      <w:r>
        <w:rPr>
          <w:rFonts w:ascii="Helvetica" w:hAnsi="Helvetica"/>
          <w:sz w:val="14"/>
        </w:rPr>
        <w:t>Phone 631 344-2286</w:t>
      </w:r>
    </w:p>
    <w:p w:rsidR="00C579CB" w:rsidRDefault="00C579CB" w14:paraId="617A00F9" w14:textId="77777777">
      <w:pPr>
        <w:jc w:val="right"/>
        <w:rPr>
          <w:rFonts w:ascii="Helvetica" w:hAnsi="Helvetica"/>
          <w:sz w:val="14"/>
        </w:rPr>
      </w:pPr>
      <w:r>
        <w:rPr>
          <w:rFonts w:ascii="Helvetica" w:hAnsi="Helvetica"/>
          <w:sz w:val="14"/>
        </w:rPr>
        <w:t>Fax 631 344-3253</w:t>
      </w:r>
    </w:p>
    <w:p w:rsidR="00C579CB" w:rsidRDefault="00C579CB" w14:paraId="2084316B" w14:textId="77777777">
      <w:pPr>
        <w:jc w:val="right"/>
        <w:rPr>
          <w:rFonts w:ascii="Helvetica" w:hAnsi="Helvetica"/>
          <w:sz w:val="14"/>
        </w:rPr>
      </w:pPr>
      <w:r>
        <w:rPr>
          <w:rFonts w:ascii="Helvetica" w:hAnsi="Helvetica"/>
          <w:sz w:val="14"/>
        </w:rPr>
        <w:t>haggerty@bnl.gov</w:t>
      </w:r>
    </w:p>
    <w:p w:rsidR="00C579CB" w:rsidRDefault="00C579CB" w14:paraId="0A688B00" w14:textId="77777777">
      <w:pPr>
        <w:jc w:val="right"/>
        <w:rPr>
          <w:rFonts w:ascii="Helvetica" w:hAnsi="Helvetica"/>
          <w:sz w:val="14"/>
        </w:rPr>
      </w:pPr>
    </w:p>
    <w:p w:rsidR="00C579CB" w:rsidRDefault="00C579CB" w14:paraId="67A92A28" w14:textId="77777777">
      <w:pPr>
        <w:jc w:val="right"/>
        <w:rPr>
          <w:rFonts w:ascii="Helvetica" w:hAnsi="Helvetica"/>
          <w:sz w:val="14"/>
        </w:rPr>
      </w:pPr>
      <w:r>
        <w:rPr>
          <w:rFonts w:ascii="Helvetica" w:hAnsi="Helvetica"/>
          <w:sz w:val="14"/>
        </w:rPr>
        <w:t>managed by Brookhaven Science Associates</w:t>
      </w:r>
      <w:r>
        <w:rPr>
          <w:rFonts w:ascii="Helvetica" w:hAnsi="Helvetica"/>
          <w:sz w:val="14"/>
        </w:rPr>
        <w:br/>
      </w:r>
      <w:r>
        <w:rPr>
          <w:rFonts w:ascii="Helvetica" w:hAnsi="Helvetica"/>
          <w:sz w:val="14"/>
        </w:rPr>
        <w:t xml:space="preserve">for the U.S. Department of Energy </w:t>
      </w:r>
    </w:p>
    <w:p w:rsidR="00C579CB" w:rsidRDefault="00C579CB" w14:paraId="5FC33259" w14:textId="77777777">
      <w:pPr>
        <w:jc w:val="right"/>
        <w:rPr>
          <w:rFonts w:ascii="Helvetica" w:hAnsi="Helvetica"/>
          <w:sz w:val="14"/>
        </w:rPr>
      </w:pPr>
    </w:p>
    <w:p w:rsidR="00C579CB" w:rsidRDefault="00C579CB" w14:paraId="5E6F56CC" w14:textId="77777777">
      <w:pPr>
        <w:jc w:val="right"/>
        <w:rPr>
          <w:rFonts w:ascii="Helvetica" w:hAnsi="Helvetica"/>
          <w:sz w:val="14"/>
        </w:rPr>
      </w:pPr>
      <w:r>
        <w:rPr>
          <w:rFonts w:ascii="Helvetica" w:hAnsi="Helvetica"/>
          <w:sz w:val="14"/>
        </w:rPr>
        <w:t>www.phenix.bnl.gov/~haggerty</w:t>
      </w:r>
    </w:p>
    <w:p w:rsidR="00C579CB" w:rsidRDefault="00C579CB" w14:paraId="7061C179" w14:textId="77777777">
      <w:pPr>
        <w:jc w:val="center"/>
        <w:sectPr w:rsidR="00C579CB">
          <w:type w:val="continuous"/>
          <w:pgSz w:w="12240" w:h="15840" w:code="1"/>
          <w:pgMar w:top="720" w:right="1627" w:bottom="720" w:left="1627" w:header="720" w:footer="720" w:gutter="0"/>
          <w:cols w:equalWidth="0" w:space="720" w:num="2">
            <w:col w:w="4133" w:space="720"/>
            <w:col w:w="4133"/>
          </w:cols>
        </w:sectPr>
      </w:pPr>
    </w:p>
    <w:p w:rsidR="00C579CB" w:rsidRDefault="00C579CB" w14:paraId="71483857" w14:textId="40EBC7DC">
      <w:r>
        <w:t xml:space="preserve">Date: </w:t>
      </w:r>
      <w:r>
        <w:tab/>
      </w:r>
      <w:r w:rsidR="00CB7E79">
        <w:t>November 22, 2020</w:t>
      </w:r>
      <w:r w:rsidR="00D841D9">
        <w:tab/>
      </w:r>
      <w:r w:rsidR="00F21AA8">
        <w:tab/>
      </w:r>
      <w:r w:rsidR="00F21AA8"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48"/>
        </w:rPr>
        <w:t>Memo</w:t>
      </w:r>
    </w:p>
    <w:p w:rsidR="00C579CB" w:rsidRDefault="00C579CB" w14:paraId="7AA64555" w14:textId="77777777"/>
    <w:p w:rsidRPr="000A5707" w:rsidR="00875E14" w:rsidP="00875E14" w:rsidRDefault="00C579CB" w14:paraId="57BEC517" w14:textId="5D36091B">
      <w:r w:rsidRPr="000A5707">
        <w:t>To:</w:t>
      </w:r>
      <w:r w:rsidRPr="000A5707" w:rsidR="0002226D">
        <w:t xml:space="preserve"> </w:t>
      </w:r>
      <w:r w:rsidRPr="000A5707" w:rsidR="00165384">
        <w:t>Ming Liu</w:t>
      </w:r>
      <w:r w:rsidRPr="000A5707" w:rsidR="000A5707">
        <w:t>, MVTX L2 manager</w:t>
      </w:r>
    </w:p>
    <w:p w:rsidRPr="000A5707" w:rsidR="00980688" w:rsidRDefault="00980688" w14:paraId="4C9BDCE5" w14:textId="77777777"/>
    <w:p w:rsidRPr="000A5707" w:rsidR="00C579CB" w:rsidRDefault="00C579CB" w14:paraId="1276195B" w14:textId="149B16B4">
      <w:r w:rsidRPr="000A5707">
        <w:t>From:</w:t>
      </w:r>
      <w:r w:rsidRPr="000A5707">
        <w:tab/>
      </w:r>
      <w:r w:rsidRPr="000A5707" w:rsidR="00555BA8">
        <w:t>John Haggerty</w:t>
      </w:r>
      <w:r w:rsidRPr="000A5707" w:rsidR="00E86007">
        <w:t xml:space="preserve">, </w:t>
      </w:r>
      <w:r w:rsidRPr="000A5707" w:rsidR="00385395">
        <w:t>R</w:t>
      </w:r>
      <w:r w:rsidRPr="000A5707" w:rsidR="00E86007">
        <w:t xml:space="preserve">eview </w:t>
      </w:r>
      <w:r w:rsidRPr="000A5707" w:rsidR="00385395">
        <w:t>C</w:t>
      </w:r>
      <w:r w:rsidRPr="000A5707" w:rsidR="00E86007">
        <w:t>hair</w:t>
      </w:r>
      <w:r w:rsidRPr="000A5707" w:rsidR="00385395">
        <w:t xml:space="preserve"> and sPHENIX Chief Scientist</w:t>
      </w:r>
      <w:r w:rsidRPr="000A5707" w:rsidR="00165384">
        <w:t xml:space="preserve">, </w:t>
      </w:r>
      <w:r w:rsidRPr="000A5707" w:rsidR="00385395">
        <w:t>and</w:t>
      </w:r>
      <w:r w:rsidRPr="000A5707" w:rsidR="00165384">
        <w:t xml:space="preserve"> from</w:t>
      </w:r>
      <w:r w:rsidRPr="000A5707" w:rsidR="00385395">
        <w:t xml:space="preserve"> Russell Feder, sPHENIX Chief ME</w:t>
      </w:r>
    </w:p>
    <w:p w:rsidR="00C579CB" w:rsidRDefault="00C579CB" w14:paraId="57B77B91" w14:textId="77777777"/>
    <w:p w:rsidR="00C579CB" w:rsidRDefault="00C579CB" w14:paraId="350C5CC4" w14:textId="371253C4">
      <w:r>
        <w:t xml:space="preserve">Subject: </w:t>
      </w:r>
      <w:r w:rsidR="00CB7E79">
        <w:t>MVTX Production Readiness Review</w:t>
      </w:r>
    </w:p>
    <w:p w:rsidR="00F21AA8" w:rsidRDefault="00F21AA8" w14:paraId="364FA50B" w14:textId="77777777"/>
    <w:p w:rsidRPr="002F08F1" w:rsidR="009F1CA3" w:rsidP="009F1CA3" w:rsidRDefault="008A1F9D" w14:paraId="4C65D0D5" w14:textId="47A98971">
      <w:r>
        <w:t xml:space="preserve">A Production Readiness Review (PRR) for MVTX components will be held </w:t>
      </w:r>
      <w:r w:rsidRPr="00A4562F" w:rsidR="00793812">
        <w:t>Dec 15th, 2020</w:t>
      </w:r>
      <w:r w:rsidRPr="00A4562F">
        <w:t xml:space="preserve"> </w:t>
      </w:r>
      <w:r w:rsidR="00FC42C6">
        <w:t>as a virtual meeting</w:t>
      </w:r>
      <w:r w:rsidR="0062678D">
        <w:t>.  The purpos</w:t>
      </w:r>
      <w:bookmarkStart w:name="_GoBack" w:id="0"/>
      <w:bookmarkEnd w:id="0"/>
      <w:r w:rsidR="0062678D">
        <w:t xml:space="preserve">e of the PRR is </w:t>
      </w:r>
      <w:r w:rsidR="002F08F1">
        <w:t xml:space="preserve">to </w:t>
      </w:r>
      <w:r w:rsidR="00B2519B">
        <w:t>address design updates and actions items from the FDR</w:t>
      </w:r>
      <w:r w:rsidR="009F1CA3">
        <w:t xml:space="preserve"> and </w:t>
      </w:r>
      <w:r w:rsidR="00A4562F">
        <w:t xml:space="preserve">approve </w:t>
      </w:r>
      <w:r w:rsidR="002F08F1">
        <w:t xml:space="preserve">readiness for </w:t>
      </w:r>
      <w:r w:rsidR="009F1CA3">
        <w:t xml:space="preserve">fabrication of the </w:t>
      </w:r>
      <w:r w:rsidR="002F08F1">
        <w:t xml:space="preserve">MVTX </w:t>
      </w:r>
      <w:r w:rsidRPr="002F08F1" w:rsidR="009F1CA3">
        <w:t xml:space="preserve">Cylindrical </w:t>
      </w:r>
      <w:r w:rsidR="000B7995">
        <w:t>S</w:t>
      </w:r>
      <w:r w:rsidRPr="002F08F1" w:rsidR="009F1CA3">
        <w:t xml:space="preserve">upport </w:t>
      </w:r>
      <w:r w:rsidR="000B7995">
        <w:t>S</w:t>
      </w:r>
      <w:r w:rsidRPr="002F08F1" w:rsidR="009F1CA3">
        <w:t>tructure (CYSS), End Wheels</w:t>
      </w:r>
      <w:r w:rsidR="000B7995">
        <w:t xml:space="preserve">, and </w:t>
      </w:r>
      <w:r w:rsidRPr="002F08F1" w:rsidR="009F1CA3">
        <w:t>Service Barrel</w:t>
      </w:r>
      <w:r w:rsidR="00812A9C">
        <w:t xml:space="preserve"> and the MVTX “X-Wing” support structure</w:t>
      </w:r>
      <w:r w:rsidR="009F1CA3">
        <w:t xml:space="preserve">. The review will also cover </w:t>
      </w:r>
      <w:r w:rsidR="000B7995">
        <w:t>assembly f</w:t>
      </w:r>
      <w:r w:rsidRPr="002F08F1" w:rsidR="009F1CA3">
        <w:t>ixtures</w:t>
      </w:r>
      <w:r w:rsidR="000B7995">
        <w:t xml:space="preserve">, </w:t>
      </w:r>
      <w:r w:rsidRPr="002F08F1" w:rsidR="009F1CA3">
        <w:t>assembly procedures</w:t>
      </w:r>
      <w:r w:rsidR="000B7995">
        <w:t xml:space="preserve">, </w:t>
      </w:r>
      <w:r w:rsidR="0067288D">
        <w:t xml:space="preserve">and </w:t>
      </w:r>
      <w:r w:rsidRPr="002F08F1" w:rsidR="009F1CA3">
        <w:t xml:space="preserve">planning for the </w:t>
      </w:r>
      <w:r w:rsidRPr="002F08F1" w:rsidR="002F08F1">
        <w:t>integrated support and insertion system in the core of sPHENIX.</w:t>
      </w:r>
    </w:p>
    <w:p w:rsidR="00850527" w:rsidP="00980688" w:rsidRDefault="00850527" w14:paraId="13F60687" w14:textId="790965C6"/>
    <w:p w:rsidR="00283830" w:rsidP="00A4562F" w:rsidRDefault="00875E14" w14:paraId="3ADBBA15" w14:textId="1ED8273E">
      <w:pPr>
        <w:rPr>
          <w:i/>
          <w:iCs/>
          <w:color w:val="FF0000"/>
        </w:rPr>
      </w:pPr>
      <w:r>
        <w:t xml:space="preserve">The agenda </w:t>
      </w:r>
      <w:r w:rsidR="00850527">
        <w:t xml:space="preserve">for </w:t>
      </w:r>
      <w:r w:rsidR="00DF3EB7">
        <w:t xml:space="preserve">the </w:t>
      </w:r>
      <w:r w:rsidR="008A1F9D">
        <w:t xml:space="preserve">MVTX review </w:t>
      </w:r>
      <w:r w:rsidR="0062678D">
        <w:t xml:space="preserve">and web meeting link information </w:t>
      </w:r>
      <w:r w:rsidR="008A1F9D">
        <w:t>is</w:t>
      </w:r>
      <w:r w:rsidR="0062678D">
        <w:t xml:space="preserve"> </w:t>
      </w:r>
      <w:r w:rsidR="00077803">
        <w:t>posted on INDICO here:</w:t>
      </w:r>
      <w:r w:rsidR="008A1F9D">
        <w:t xml:space="preserve">  </w:t>
      </w:r>
      <w:hyperlink w:history="1" r:id="rId9">
        <w:r w:rsidRPr="007F4E1D" w:rsidR="00A4562F">
          <w:rPr>
            <w:rStyle w:val="Hyperlink"/>
            <w:i/>
            <w:iCs/>
          </w:rPr>
          <w:t>https://indico.bnl.gov/event/10088/</w:t>
        </w:r>
      </w:hyperlink>
    </w:p>
    <w:p w:rsidR="00A4562F" w:rsidP="00A4562F" w:rsidRDefault="00A4562F" w14:paraId="3C7C885E" w14:textId="77777777"/>
    <w:p w:rsidRPr="00BE19C3" w:rsidR="002F4F29" w:rsidP="0002226D" w:rsidRDefault="0062678D" w14:paraId="456842ED" w14:textId="119E7320">
      <w:pPr>
        <w:tabs>
          <w:tab w:val="center" w:pos="4493"/>
        </w:tabs>
        <w:rPr>
          <w:b/>
          <w:u w:val="single"/>
        </w:rPr>
      </w:pPr>
      <w:r>
        <w:rPr>
          <w:b/>
          <w:u w:val="single"/>
        </w:rPr>
        <w:t>MVTX PRR Panel</w:t>
      </w:r>
    </w:p>
    <w:p w:rsidRPr="001F5E25" w:rsidR="00706C9B" w:rsidP="00706C9B" w:rsidRDefault="00706C9B" w14:paraId="14CC411C" w14:textId="77777777">
      <w:pPr>
        <w:pStyle w:val="ListParagraph"/>
        <w:numPr>
          <w:ilvl w:val="0"/>
          <w:numId w:val="18"/>
        </w:numPr>
        <w:tabs>
          <w:tab w:val="center" w:pos="4493"/>
        </w:tabs>
      </w:pPr>
      <w:r w:rsidRPr="001F5E25">
        <w:t>John Haggerty (Chair) – BNL sPHENIX physics and detectors</w:t>
      </w:r>
    </w:p>
    <w:p w:rsidRPr="001F5E25" w:rsidR="00706C9B" w:rsidP="00706C9B" w:rsidRDefault="00706C9B" w14:paraId="7AEA7D8D" w14:textId="77777777">
      <w:pPr>
        <w:pStyle w:val="ListParagraph"/>
        <w:numPr>
          <w:ilvl w:val="0"/>
          <w:numId w:val="18"/>
        </w:numPr>
        <w:tabs>
          <w:tab w:val="center" w:pos="4493"/>
        </w:tabs>
      </w:pPr>
      <w:r w:rsidRPr="001F5E25">
        <w:t>Russell Feder – BNL sPHENIX engineering and integration</w:t>
      </w:r>
    </w:p>
    <w:p w:rsidRPr="001F5E25" w:rsidR="00706C9B" w:rsidP="00706C9B" w:rsidRDefault="00706C9B" w14:paraId="10DF74C6" w14:textId="77777777">
      <w:pPr>
        <w:pStyle w:val="ListParagraph"/>
        <w:numPr>
          <w:ilvl w:val="0"/>
          <w:numId w:val="18"/>
        </w:numPr>
        <w:tabs>
          <w:tab w:val="center" w:pos="4493"/>
        </w:tabs>
      </w:pPr>
      <w:r w:rsidRPr="001F5E25">
        <w:t>Dan Cacace – BNL sPHENIX engineering and integration</w:t>
      </w:r>
    </w:p>
    <w:p w:rsidRPr="001F5E25" w:rsidR="00B83889" w:rsidP="00706C9B" w:rsidRDefault="00B83889" w14:paraId="07127966" w14:textId="6B2DE55A">
      <w:pPr>
        <w:pStyle w:val="ListParagraph"/>
        <w:numPr>
          <w:ilvl w:val="0"/>
          <w:numId w:val="18"/>
        </w:numPr>
        <w:tabs>
          <w:tab w:val="center" w:pos="4493"/>
        </w:tabs>
      </w:pPr>
      <w:r w:rsidRPr="001F5E25">
        <w:t xml:space="preserve">Chris Pontieri </w:t>
      </w:r>
      <w:r w:rsidRPr="001F5E25" w:rsidR="00F7113A">
        <w:t>– BNL sPHENIX engineering and integration</w:t>
      </w:r>
    </w:p>
    <w:p w:rsidRPr="001F5E25" w:rsidR="00706C9B" w:rsidP="00706C9B" w:rsidRDefault="00706C9B" w14:paraId="25ED60EA" w14:textId="77777777">
      <w:pPr>
        <w:pStyle w:val="ListParagraph"/>
        <w:numPr>
          <w:ilvl w:val="0"/>
          <w:numId w:val="18"/>
        </w:numPr>
        <w:tabs>
          <w:tab w:val="center" w:pos="4493"/>
        </w:tabs>
      </w:pPr>
      <w:r w:rsidRPr="001F5E25">
        <w:t>Joe Silber – LBL physics and detector technology</w:t>
      </w:r>
    </w:p>
    <w:p w:rsidRPr="001F5E25" w:rsidR="00C1562C" w:rsidP="00706C9B" w:rsidRDefault="00706C9B" w14:paraId="49F1F3F8" w14:textId="1CF574E2">
      <w:pPr>
        <w:pStyle w:val="ListParagraph"/>
        <w:numPr>
          <w:ilvl w:val="0"/>
          <w:numId w:val="18"/>
        </w:numPr>
        <w:tabs>
          <w:tab w:val="center" w:pos="4493"/>
        </w:tabs>
      </w:pPr>
      <w:r w:rsidRPr="001F5E25">
        <w:t>Leo Greiner - LBL physics and detector technology</w:t>
      </w:r>
    </w:p>
    <w:p w:rsidR="00206010" w:rsidP="0062678D" w:rsidRDefault="00206010" w14:paraId="6ADBD565" w14:textId="77777777">
      <w:pPr>
        <w:tabs>
          <w:tab w:val="center" w:pos="4493"/>
        </w:tabs>
      </w:pPr>
    </w:p>
    <w:p w:rsidR="00A57D81" w:rsidP="00980688" w:rsidRDefault="006D42A1" w14:paraId="39EAC138" w14:textId="4D28C354">
      <w:r>
        <w:t xml:space="preserve">In </w:t>
      </w:r>
      <w:proofErr w:type="gramStart"/>
      <w:r>
        <w:t>general</w:t>
      </w:r>
      <w:proofErr w:type="gramEnd"/>
      <w:r>
        <w:t xml:space="preserve"> a </w:t>
      </w:r>
      <w:r w:rsidRPr="00964731" w:rsidR="003F353E">
        <w:rPr>
          <w:b/>
          <w:bCs/>
          <w:i/>
          <w:iCs/>
        </w:rPr>
        <w:t>Production Readiness</w:t>
      </w:r>
      <w:r w:rsidRPr="00964731">
        <w:rPr>
          <w:b/>
          <w:bCs/>
          <w:i/>
          <w:iCs/>
        </w:rPr>
        <w:t xml:space="preserve"> Review</w:t>
      </w:r>
      <w:r w:rsidRPr="00964731" w:rsidR="00964731">
        <w:rPr>
          <w:b/>
          <w:bCs/>
          <w:i/>
          <w:iCs/>
        </w:rPr>
        <w:t xml:space="preserve"> (PRR)</w:t>
      </w:r>
      <w:r>
        <w:t xml:space="preserve"> addresses the following que</w:t>
      </w:r>
      <w:r w:rsidR="001E79D5">
        <w:t>stions and topics:</w:t>
      </w:r>
    </w:p>
    <w:p w:rsidR="0002226D" w:rsidP="00980688" w:rsidRDefault="0002226D" w14:paraId="60FB482A" w14:textId="751E429C"/>
    <w:p w:rsidRPr="00F25CAB" w:rsidR="00964731" w:rsidP="00964731" w:rsidRDefault="00964731" w14:paraId="0CF14AE4" w14:textId="77777777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964731">
        <w:rPr>
          <w:rFonts w:ascii="TimesNewRomanPSMT" w:hAnsi="TimesNewRomanPSMT" w:cs="TimesNewRomanPSMT"/>
          <w:b/>
          <w:bCs/>
          <w:szCs w:val="24"/>
          <w:u w:val="single"/>
        </w:rPr>
        <w:t>Engineering and Design</w:t>
      </w:r>
      <w:r w:rsidRPr="00F25CAB">
        <w:rPr>
          <w:rFonts w:ascii="TimesNewRomanPSMT" w:hAnsi="TimesNewRomanPSMT" w:cs="TimesNewRomanPSMT"/>
          <w:szCs w:val="24"/>
        </w:rPr>
        <w:t xml:space="preserve"> – Are the drawings complete? Have they been </w:t>
      </w:r>
      <w:proofErr w:type="gramStart"/>
      <w:r w:rsidRPr="00F25CAB">
        <w:rPr>
          <w:rFonts w:ascii="TimesNewRomanPSMT" w:hAnsi="TimesNewRomanPSMT" w:cs="TimesNewRomanPSMT"/>
          <w:szCs w:val="24"/>
        </w:rPr>
        <w:t>reviewed ,</w:t>
      </w:r>
      <w:proofErr w:type="gramEnd"/>
    </w:p>
    <w:p w:rsidRPr="00F25CAB" w:rsidR="00964731" w:rsidP="00964731" w:rsidRDefault="00964731" w14:paraId="1FD2B79D" w14:textId="12ADB9AE">
      <w:pPr>
        <w:pStyle w:val="ListParagraph"/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25CAB">
        <w:rPr>
          <w:rFonts w:ascii="TimesNewRomanPSMT" w:hAnsi="TimesNewRomanPSMT" w:cs="TimesNewRomanPSMT"/>
          <w:szCs w:val="24"/>
        </w:rPr>
        <w:t xml:space="preserve">approved, and released </w:t>
      </w:r>
      <w:r w:rsidR="00B11159">
        <w:rPr>
          <w:rFonts w:ascii="TimesNewRomanPSMT" w:hAnsi="TimesNewRomanPSMT" w:cs="TimesNewRomanPSMT"/>
          <w:szCs w:val="24"/>
        </w:rPr>
        <w:t xml:space="preserve">following </w:t>
      </w:r>
      <w:r w:rsidR="000F33A8">
        <w:rPr>
          <w:rFonts w:ascii="TimesNewRomanPSMT" w:hAnsi="TimesNewRomanPSMT" w:cs="TimesNewRomanPSMT"/>
          <w:szCs w:val="24"/>
        </w:rPr>
        <w:t>guidelines</w:t>
      </w:r>
      <w:r w:rsidRPr="00F25CAB">
        <w:rPr>
          <w:rFonts w:ascii="TimesNewRomanPSMT" w:hAnsi="TimesNewRomanPSMT" w:cs="TimesNewRomanPSMT"/>
          <w:szCs w:val="24"/>
        </w:rPr>
        <w:t>? Are the</w:t>
      </w:r>
      <w:r w:rsidR="000F33A8">
        <w:rPr>
          <w:rFonts w:ascii="TimesNewRomanPSMT" w:hAnsi="TimesNewRomanPSMT" w:cs="TimesNewRomanPSMT"/>
          <w:szCs w:val="24"/>
        </w:rPr>
        <w:t xml:space="preserve"> drawings</w:t>
      </w:r>
      <w:r w:rsidRPr="00F25CAB">
        <w:rPr>
          <w:rFonts w:ascii="TimesNewRomanPSMT" w:hAnsi="TimesNewRomanPSMT" w:cs="TimesNewRomanPSMT"/>
          <w:szCs w:val="24"/>
        </w:rPr>
        <w:t xml:space="preserve"> now</w:t>
      </w:r>
    </w:p>
    <w:p w:rsidRPr="00F25CAB" w:rsidR="00964731" w:rsidP="00964731" w:rsidRDefault="00964731" w14:paraId="71DAD102" w14:textId="77777777">
      <w:pPr>
        <w:pStyle w:val="ListParagraph"/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25CAB">
        <w:rPr>
          <w:rFonts w:ascii="TimesNewRomanPSMT" w:hAnsi="TimesNewRomanPSMT" w:cs="TimesNewRomanPSMT"/>
          <w:szCs w:val="24"/>
        </w:rPr>
        <w:t xml:space="preserve">under configuration control? Has there been an appropriate independent review of </w:t>
      </w:r>
      <w:proofErr w:type="gramStart"/>
      <w:r w:rsidRPr="00F25CAB">
        <w:rPr>
          <w:rFonts w:ascii="TimesNewRomanPSMT" w:hAnsi="TimesNewRomanPSMT" w:cs="TimesNewRomanPSMT"/>
          <w:szCs w:val="24"/>
        </w:rPr>
        <w:t>the</w:t>
      </w:r>
      <w:proofErr w:type="gramEnd"/>
    </w:p>
    <w:p w:rsidRPr="00F25CAB" w:rsidR="00964731" w:rsidP="00964731" w:rsidRDefault="00964731" w14:paraId="729124CC" w14:textId="77777777">
      <w:pPr>
        <w:pStyle w:val="ListParagraph"/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25CAB">
        <w:rPr>
          <w:rFonts w:ascii="TimesNewRomanPSMT" w:hAnsi="TimesNewRomanPSMT" w:cs="TimesNewRomanPSMT"/>
          <w:szCs w:val="24"/>
        </w:rPr>
        <w:t>design? If there have been changes to the documents since the Final Design Review,</w:t>
      </w:r>
    </w:p>
    <w:p w:rsidRPr="00F25CAB" w:rsidR="00964731" w:rsidP="00964731" w:rsidRDefault="00964731" w14:paraId="453D95AD" w14:textId="77777777">
      <w:pPr>
        <w:pStyle w:val="ListParagraph"/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25CAB">
        <w:rPr>
          <w:rFonts w:ascii="TimesNewRomanPSMT" w:hAnsi="TimesNewRomanPSMT" w:cs="TimesNewRomanPSMT"/>
          <w:szCs w:val="24"/>
        </w:rPr>
        <w:t xml:space="preserve">have these changes been vetted properly? Are the changes still consistent with </w:t>
      </w:r>
      <w:proofErr w:type="gramStart"/>
      <w:r w:rsidRPr="00F25CAB">
        <w:rPr>
          <w:rFonts w:ascii="TimesNewRomanPSMT" w:hAnsi="TimesNewRomanPSMT" w:cs="TimesNewRomanPSMT"/>
          <w:szCs w:val="24"/>
        </w:rPr>
        <w:t>the</w:t>
      </w:r>
      <w:proofErr w:type="gramEnd"/>
    </w:p>
    <w:p w:rsidRPr="00F25CAB" w:rsidR="00964731" w:rsidP="00964731" w:rsidRDefault="00964731" w14:paraId="66A3F984" w14:textId="77777777">
      <w:pPr>
        <w:pStyle w:val="ListParagraph"/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25CAB">
        <w:rPr>
          <w:rFonts w:ascii="TimesNewRomanPSMT" w:hAnsi="TimesNewRomanPSMT" w:cs="TimesNewRomanPSMT"/>
          <w:szCs w:val="24"/>
        </w:rPr>
        <w:t xml:space="preserve">Requirements? </w:t>
      </w:r>
      <w:proofErr w:type="gramStart"/>
      <w:r w:rsidRPr="00F25CAB">
        <w:rPr>
          <w:rFonts w:ascii="TimesNewRomanPSMT" w:hAnsi="TimesNewRomanPSMT" w:cs="TimesNewRomanPSMT"/>
          <w:szCs w:val="24"/>
        </w:rPr>
        <w:t>Has</w:t>
      </w:r>
      <w:proofErr w:type="gramEnd"/>
      <w:r w:rsidRPr="00F25CAB">
        <w:rPr>
          <w:rFonts w:ascii="TimesNewRomanPSMT" w:hAnsi="TimesNewRomanPSMT" w:cs="TimesNewRomanPSMT"/>
          <w:szCs w:val="24"/>
        </w:rPr>
        <w:t xml:space="preserve"> appropriate parts lists been generated for all subsystem</w:t>
      </w:r>
      <w:r>
        <w:rPr>
          <w:rFonts w:ascii="TimesNewRomanPSMT" w:hAnsi="TimesNewRomanPSMT" w:cs="TimesNewRomanPSMT"/>
          <w:szCs w:val="24"/>
        </w:rPr>
        <w:t xml:space="preserve"> </w:t>
      </w:r>
      <w:r w:rsidRPr="00F25CAB">
        <w:rPr>
          <w:rFonts w:ascii="TimesNewRomanPSMT" w:hAnsi="TimesNewRomanPSMT" w:cs="TimesNewRomanPSMT"/>
          <w:szCs w:val="24"/>
        </w:rPr>
        <w:t>assemblies?</w:t>
      </w:r>
      <w:r>
        <w:rPr>
          <w:rFonts w:ascii="TimesNewRomanPSMT" w:hAnsi="TimesNewRomanPSMT" w:cs="TimesNewRomanPSMT"/>
          <w:szCs w:val="24"/>
        </w:rPr>
        <w:t xml:space="preserve"> </w:t>
      </w:r>
      <w:r w:rsidRPr="00F25CAB">
        <w:rPr>
          <w:rFonts w:ascii="TimesNewRomanPSMT" w:hAnsi="TimesNewRomanPSMT" w:cs="TimesNewRomanPSMT"/>
          <w:szCs w:val="24"/>
        </w:rPr>
        <w:t>Have all components been identified?</w:t>
      </w:r>
    </w:p>
    <w:p w:rsidRPr="00F25CAB" w:rsidR="00964731" w:rsidP="00964731" w:rsidRDefault="00964731" w14:paraId="3BA83DD5" w14:textId="77777777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964731">
        <w:rPr>
          <w:rFonts w:ascii="TimesNewRomanPSMT" w:hAnsi="TimesNewRomanPSMT" w:cs="TimesNewRomanPSMT"/>
          <w:b/>
          <w:bCs/>
          <w:szCs w:val="24"/>
          <w:u w:val="single"/>
        </w:rPr>
        <w:t>Management</w:t>
      </w:r>
      <w:r w:rsidRPr="00F25CAB">
        <w:rPr>
          <w:rFonts w:ascii="TimesNewRomanPSMT" w:hAnsi="TimesNewRomanPSMT" w:cs="TimesNewRomanPSMT"/>
          <w:szCs w:val="24"/>
        </w:rPr>
        <w:t xml:space="preserve"> - Is the schedule for procurement, including internal signatures and</w:t>
      </w:r>
    </w:p>
    <w:p w:rsidRPr="00F25CAB" w:rsidR="00964731" w:rsidP="00964731" w:rsidRDefault="00964731" w14:paraId="4058D80A" w14:textId="421DFFE5">
      <w:pPr>
        <w:pStyle w:val="ListParagraph"/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25CAB">
        <w:rPr>
          <w:rFonts w:ascii="TimesNewRomanPSMT" w:hAnsi="TimesNewRomanPSMT" w:cs="TimesNewRomanPSMT"/>
          <w:szCs w:val="24"/>
        </w:rPr>
        <w:t>approvals, bid duration, material procurement, and fabrication been correctly</w:t>
      </w:r>
      <w:r>
        <w:rPr>
          <w:rFonts w:ascii="TimesNewRomanPSMT" w:hAnsi="TimesNewRomanPSMT" w:cs="TimesNewRomanPSMT"/>
          <w:szCs w:val="24"/>
        </w:rPr>
        <w:t xml:space="preserve"> </w:t>
      </w:r>
      <w:r w:rsidRPr="00F25CAB">
        <w:rPr>
          <w:rFonts w:ascii="TimesNewRomanPSMT" w:hAnsi="TimesNewRomanPSMT" w:cs="TimesNewRomanPSMT"/>
          <w:szCs w:val="24"/>
        </w:rPr>
        <w:t>estimated?</w:t>
      </w:r>
      <w:r>
        <w:rPr>
          <w:rFonts w:ascii="TimesNewRomanPSMT" w:hAnsi="TimesNewRomanPSMT" w:cs="TimesNewRomanPSMT"/>
          <w:szCs w:val="24"/>
        </w:rPr>
        <w:t xml:space="preserve">  </w:t>
      </w:r>
      <w:r w:rsidRPr="00F25CAB">
        <w:rPr>
          <w:rFonts w:ascii="TimesNewRomanPSMT" w:hAnsi="TimesNewRomanPSMT" w:cs="TimesNewRomanPSMT"/>
          <w:szCs w:val="24"/>
        </w:rPr>
        <w:t>Are they consistent with the Resource Loaded Schedule? Have all recommendations</w:t>
      </w:r>
      <w:r>
        <w:rPr>
          <w:rFonts w:ascii="TimesNewRomanPSMT" w:hAnsi="TimesNewRomanPSMT" w:cs="TimesNewRomanPSMT"/>
          <w:szCs w:val="24"/>
        </w:rPr>
        <w:t xml:space="preserve"> </w:t>
      </w:r>
      <w:r w:rsidRPr="00F25CAB">
        <w:rPr>
          <w:rFonts w:ascii="TimesNewRomanPSMT" w:hAnsi="TimesNewRomanPSMT" w:cs="TimesNewRomanPSMT"/>
          <w:szCs w:val="24"/>
        </w:rPr>
        <w:t>from prior reviews been properly addressed and approved?</w:t>
      </w:r>
    </w:p>
    <w:p w:rsidRPr="00F25CAB" w:rsidR="00964731" w:rsidP="00964731" w:rsidRDefault="00964731" w14:paraId="2B64D24C" w14:textId="77777777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964731">
        <w:rPr>
          <w:rFonts w:ascii="TimesNewRomanPSMT" w:hAnsi="TimesNewRomanPSMT" w:cs="TimesNewRomanPSMT"/>
          <w:b/>
          <w:bCs/>
          <w:szCs w:val="24"/>
          <w:u w:val="single"/>
        </w:rPr>
        <w:t>Fabrication</w:t>
      </w:r>
      <w:r w:rsidRPr="00F25CAB">
        <w:rPr>
          <w:rFonts w:ascii="TimesNewRomanPSMT" w:hAnsi="TimesNewRomanPSMT" w:cs="TimesNewRomanPSMT"/>
          <w:szCs w:val="24"/>
        </w:rPr>
        <w:t xml:space="preserve"> – Have potential vendors been identified? Will assembly be required? Who will perform the assembly? What are the acceptance criteria for parts? Is this</w:t>
      </w:r>
    </w:p>
    <w:p w:rsidRPr="00F25CAB" w:rsidR="00964731" w:rsidP="00964731" w:rsidRDefault="00964731" w14:paraId="55E47F35" w14:textId="77777777">
      <w:pPr>
        <w:pStyle w:val="ListParagraph"/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25CAB">
        <w:rPr>
          <w:rFonts w:ascii="TimesNewRomanPSMT" w:hAnsi="TimesNewRomanPSMT" w:cs="TimesNewRomanPSMT"/>
          <w:szCs w:val="24"/>
        </w:rPr>
        <w:t xml:space="preserve">documented and part of the procurement package? Who will do the </w:t>
      </w:r>
      <w:proofErr w:type="gramStart"/>
      <w:r w:rsidRPr="00F25CAB">
        <w:rPr>
          <w:rFonts w:ascii="TimesNewRomanPSMT" w:hAnsi="TimesNewRomanPSMT" w:cs="TimesNewRomanPSMT"/>
          <w:szCs w:val="24"/>
        </w:rPr>
        <w:t>acceptance</w:t>
      </w:r>
      <w:proofErr w:type="gramEnd"/>
    </w:p>
    <w:p w:rsidRPr="00F25CAB" w:rsidR="00964731" w:rsidP="00964731" w:rsidRDefault="00964731" w14:paraId="39F0E6AD" w14:textId="77777777">
      <w:pPr>
        <w:pStyle w:val="ListParagraph"/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25CAB">
        <w:rPr>
          <w:rFonts w:ascii="TimesNewRomanPSMT" w:hAnsi="TimesNewRomanPSMT" w:cs="TimesNewRomanPSMT"/>
          <w:szCs w:val="24"/>
        </w:rPr>
        <w:t>inspection and testing? Is shipping included in the procurement? Where will equipment</w:t>
      </w:r>
      <w:r>
        <w:rPr>
          <w:rFonts w:ascii="TimesNewRomanPSMT" w:hAnsi="TimesNewRomanPSMT" w:cs="TimesNewRomanPSMT"/>
          <w:szCs w:val="24"/>
        </w:rPr>
        <w:t xml:space="preserve"> </w:t>
      </w:r>
      <w:r w:rsidRPr="00F25CAB">
        <w:rPr>
          <w:rFonts w:ascii="TimesNewRomanPSMT" w:hAnsi="TimesNewRomanPSMT" w:cs="TimesNewRomanPSMT"/>
          <w:szCs w:val="24"/>
        </w:rPr>
        <w:t>be stored upon arrival at BNL?</w:t>
      </w:r>
    </w:p>
    <w:p w:rsidRPr="00F25CAB" w:rsidR="00964731" w:rsidP="00964731" w:rsidRDefault="00964731" w14:paraId="69CE4D31" w14:textId="77777777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964731">
        <w:rPr>
          <w:rFonts w:ascii="TimesNewRomanPSMT" w:hAnsi="TimesNewRomanPSMT" w:cs="TimesNewRomanPSMT"/>
          <w:b/>
          <w:bCs/>
          <w:szCs w:val="24"/>
          <w:u w:val="single"/>
        </w:rPr>
        <w:t>Quality</w:t>
      </w:r>
      <w:r w:rsidRPr="00F25CAB">
        <w:rPr>
          <w:rFonts w:ascii="TimesNewRomanPSMT" w:hAnsi="TimesNewRomanPSMT" w:cs="TimesNewRomanPSMT"/>
          <w:szCs w:val="24"/>
        </w:rPr>
        <w:t xml:space="preserve"> - What are the quality assurance requirements for this procurement? Are</w:t>
      </w:r>
    </w:p>
    <w:p w:rsidRPr="00F25CAB" w:rsidR="00964731" w:rsidP="00964731" w:rsidRDefault="00964731" w14:paraId="2A74428B" w14:textId="439D5CBA">
      <w:pPr>
        <w:pStyle w:val="ListParagraph"/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25CAB">
        <w:rPr>
          <w:rFonts w:ascii="TimesNewRomanPSMT" w:hAnsi="TimesNewRomanPSMT" w:cs="TimesNewRomanPSMT"/>
          <w:szCs w:val="24"/>
        </w:rPr>
        <w:t xml:space="preserve">material certifications </w:t>
      </w:r>
      <w:proofErr w:type="gramStart"/>
      <w:r w:rsidRPr="00F25CAB" w:rsidR="000D2A1B">
        <w:rPr>
          <w:rFonts w:ascii="TimesNewRomanPSMT" w:hAnsi="TimesNewRomanPSMT" w:cs="TimesNewRomanPSMT"/>
          <w:szCs w:val="24"/>
        </w:rPr>
        <w:t>required</w:t>
      </w:r>
      <w:r w:rsidR="001F35F1">
        <w:rPr>
          <w:rFonts w:ascii="TimesNewRomanPSMT" w:hAnsi="TimesNewRomanPSMT" w:cs="TimesNewRomanPSMT"/>
          <w:szCs w:val="24"/>
        </w:rPr>
        <w:t>?</w:t>
      </w:r>
      <w:proofErr w:type="gramEnd"/>
      <w:r w:rsidRPr="00F25CAB">
        <w:rPr>
          <w:rFonts w:ascii="TimesNewRomanPSMT" w:hAnsi="TimesNewRomanPSMT" w:cs="TimesNewRomanPSMT"/>
          <w:szCs w:val="24"/>
        </w:rPr>
        <w:t xml:space="preserve"> Are there intermediate inspection steps required during</w:t>
      </w:r>
      <w:r>
        <w:rPr>
          <w:rFonts w:ascii="TimesNewRomanPSMT" w:hAnsi="TimesNewRomanPSMT" w:cs="TimesNewRomanPSMT"/>
          <w:szCs w:val="24"/>
        </w:rPr>
        <w:t xml:space="preserve"> </w:t>
      </w:r>
      <w:r w:rsidRPr="00F25CAB">
        <w:rPr>
          <w:rFonts w:ascii="TimesNewRomanPSMT" w:hAnsi="TimesNewRomanPSMT" w:cs="TimesNewRomanPSMT"/>
          <w:szCs w:val="24"/>
        </w:rPr>
        <w:t>fabrication that will require BNL involvement? Are they clearly spelled out in the</w:t>
      </w:r>
      <w:r>
        <w:rPr>
          <w:rFonts w:ascii="TimesNewRomanPSMT" w:hAnsi="TimesNewRomanPSMT" w:cs="TimesNewRomanPSMT"/>
          <w:szCs w:val="24"/>
        </w:rPr>
        <w:t xml:space="preserve"> </w:t>
      </w:r>
      <w:r w:rsidRPr="00F25CAB">
        <w:rPr>
          <w:rFonts w:ascii="TimesNewRomanPSMT" w:hAnsi="TimesNewRomanPSMT" w:cs="TimesNewRomanPSMT"/>
          <w:szCs w:val="24"/>
        </w:rPr>
        <w:t>procurement documentation?</w:t>
      </w:r>
    </w:p>
    <w:p w:rsidR="00964731" w:rsidP="00964731" w:rsidRDefault="00964731" w14:paraId="49299DFF" w14:textId="77777777">
      <w:pPr>
        <w:pStyle w:val="ListParagraph"/>
        <w:numPr>
          <w:ilvl w:val="0"/>
          <w:numId w:val="19"/>
        </w:numPr>
      </w:pPr>
      <w:r w:rsidRPr="00964731">
        <w:rPr>
          <w:rFonts w:ascii="TimesNewRomanPSMT" w:hAnsi="TimesNewRomanPSMT" w:cs="TimesNewRomanPSMT"/>
          <w:b/>
          <w:bCs/>
          <w:szCs w:val="24"/>
          <w:u w:val="single"/>
        </w:rPr>
        <w:t>Safety</w:t>
      </w:r>
      <w:r w:rsidRPr="00F25CAB">
        <w:rPr>
          <w:rFonts w:ascii="TimesNewRomanPSMT" w:hAnsi="TimesNewRomanPSMT" w:cs="TimesNewRomanPSMT"/>
          <w:szCs w:val="24"/>
        </w:rPr>
        <w:t xml:space="preserve"> – Have all safety requirements been satisfied and closed out?</w:t>
      </w:r>
    </w:p>
    <w:p w:rsidR="00A62425" w:rsidP="00A62425" w:rsidRDefault="00A62425" w14:paraId="169DA11C" w14:textId="383A7D79">
      <w:pPr>
        <w:rPr>
          <w:rFonts w:ascii="TimesNewRomanPSMT" w:hAnsi="TimesNewRomanPSMT" w:cs="TimesNewRomanPSMT"/>
          <w:szCs w:val="24"/>
        </w:rPr>
      </w:pPr>
    </w:p>
    <w:p w:rsidR="00875E14" w:rsidP="00980688" w:rsidRDefault="003C6FEC" w14:paraId="7F459E66" w14:textId="23844F95">
      <w:r>
        <w:t xml:space="preserve">General </w:t>
      </w:r>
      <w:r w:rsidR="005306E7">
        <w:t xml:space="preserve">conduct of sPHENIX </w:t>
      </w:r>
      <w:r w:rsidR="00B11159">
        <w:t>PR</w:t>
      </w:r>
      <w:r w:rsidR="005306E7">
        <w:t xml:space="preserve">R’s </w:t>
      </w:r>
      <w:r>
        <w:t xml:space="preserve">is </w:t>
      </w:r>
      <w:r w:rsidR="005306E7">
        <w:t xml:space="preserve">described in </w:t>
      </w:r>
    </w:p>
    <w:p w:rsidR="005306E7" w:rsidP="00980688" w:rsidRDefault="005306E7" w14:paraId="2CDA9CFA" w14:textId="77777777"/>
    <w:p w:rsidR="005306E7" w:rsidP="005306E7" w:rsidRDefault="001F35F1" w14:paraId="59C4E847" w14:textId="77777777">
      <w:hyperlink w:history="1" r:id="rId10">
        <w:r w:rsidR="005306E7">
          <w:rPr>
            <w:rStyle w:val="Hyperlink"/>
          </w:rPr>
          <w:t>https://docdb.sphenix.bnl.gov/cgi-bin/private/ShowDocument?docid=207</w:t>
        </w:r>
      </w:hyperlink>
    </w:p>
    <w:p w:rsidR="005306E7" w:rsidP="005306E7" w:rsidRDefault="005306E7" w14:paraId="720FD43E" w14:textId="317534B5"/>
    <w:sectPr w:rsidR="005306E7">
      <w:type w:val="continuous"/>
      <w:pgSz w:w="12240" w:h="15840"/>
      <w:pgMar w:top="720" w:right="1627" w:bottom="720" w:left="16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21C7"/>
    <w:multiLevelType w:val="hybridMultilevel"/>
    <w:tmpl w:val="1DE401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2C3C8B"/>
    <w:multiLevelType w:val="hybridMultilevel"/>
    <w:tmpl w:val="4C502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1647B"/>
    <w:multiLevelType w:val="hybridMultilevel"/>
    <w:tmpl w:val="366068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0B6AB7"/>
    <w:multiLevelType w:val="hybridMultilevel"/>
    <w:tmpl w:val="5FD2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A98"/>
    <w:multiLevelType w:val="hybridMultilevel"/>
    <w:tmpl w:val="0B7E484A"/>
    <w:lvl w:ilvl="0" w:tplc="78F6E426"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D811A04"/>
    <w:multiLevelType w:val="hybridMultilevel"/>
    <w:tmpl w:val="0D9EAF02"/>
    <w:lvl w:ilvl="0" w:tplc="78F6E42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0B0796"/>
    <w:multiLevelType w:val="hybridMultilevel"/>
    <w:tmpl w:val="47DAFC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8053A2"/>
    <w:multiLevelType w:val="hybridMultilevel"/>
    <w:tmpl w:val="8A3201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E708DC"/>
    <w:multiLevelType w:val="hybridMultilevel"/>
    <w:tmpl w:val="1E0AD18C"/>
    <w:lvl w:ilvl="0" w:tplc="78F6E426"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4116202D"/>
    <w:multiLevelType w:val="hybridMultilevel"/>
    <w:tmpl w:val="36EC8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8537E"/>
    <w:multiLevelType w:val="hybridMultilevel"/>
    <w:tmpl w:val="8CF4FE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142AA3"/>
    <w:multiLevelType w:val="multilevel"/>
    <w:tmpl w:val="B054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83221E"/>
    <w:multiLevelType w:val="hybridMultilevel"/>
    <w:tmpl w:val="4C502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24427"/>
    <w:multiLevelType w:val="hybridMultilevel"/>
    <w:tmpl w:val="8FC4DAC0"/>
    <w:lvl w:ilvl="0" w:tplc="78F6E426"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679047F0"/>
    <w:multiLevelType w:val="hybridMultilevel"/>
    <w:tmpl w:val="1340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2F192D"/>
    <w:multiLevelType w:val="hybridMultilevel"/>
    <w:tmpl w:val="31E8D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46DAF"/>
    <w:multiLevelType w:val="hybridMultilevel"/>
    <w:tmpl w:val="27F69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E144E72"/>
    <w:multiLevelType w:val="hybridMultilevel"/>
    <w:tmpl w:val="8CF4FE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E010FA"/>
    <w:multiLevelType w:val="hybridMultilevel"/>
    <w:tmpl w:val="FDA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7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13"/>
  </w:num>
  <w:num w:numId="10">
    <w:abstractNumId w:val="4"/>
  </w:num>
  <w:num w:numId="11">
    <w:abstractNumId w:val="14"/>
  </w:num>
  <w:num w:numId="12">
    <w:abstractNumId w:val="9"/>
  </w:num>
  <w:num w:numId="13">
    <w:abstractNumId w:val="1"/>
  </w:num>
  <w:num w:numId="14">
    <w:abstractNumId w:val="15"/>
  </w:num>
  <w:num w:numId="15">
    <w:abstractNumId w:val="3"/>
  </w:num>
  <w:num w:numId="16">
    <w:abstractNumId w:val="0"/>
  </w:num>
  <w:num w:numId="17">
    <w:abstractNumId w:val="12"/>
  </w:num>
  <w:num w:numId="18">
    <w:abstractNumId w:val="2"/>
  </w:num>
  <w:num w:numId="19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0A"/>
    <w:rsid w:val="00017AD3"/>
    <w:rsid w:val="0002147A"/>
    <w:rsid w:val="0002226D"/>
    <w:rsid w:val="000244AC"/>
    <w:rsid w:val="000605B3"/>
    <w:rsid w:val="00077803"/>
    <w:rsid w:val="000A0EBD"/>
    <w:rsid w:val="000A5707"/>
    <w:rsid w:val="000B7995"/>
    <w:rsid w:val="000D17B7"/>
    <w:rsid w:val="000D2A1B"/>
    <w:rsid w:val="000D6C6A"/>
    <w:rsid w:val="000F33A8"/>
    <w:rsid w:val="001060A5"/>
    <w:rsid w:val="00127161"/>
    <w:rsid w:val="00127FCD"/>
    <w:rsid w:val="00130D65"/>
    <w:rsid w:val="00131310"/>
    <w:rsid w:val="00165384"/>
    <w:rsid w:val="001E79D5"/>
    <w:rsid w:val="001F35F1"/>
    <w:rsid w:val="001F4A79"/>
    <w:rsid w:val="001F5E25"/>
    <w:rsid w:val="00206010"/>
    <w:rsid w:val="00210848"/>
    <w:rsid w:val="00217C43"/>
    <w:rsid w:val="00220B0D"/>
    <w:rsid w:val="00226B79"/>
    <w:rsid w:val="0024343D"/>
    <w:rsid w:val="00247C35"/>
    <w:rsid w:val="00283830"/>
    <w:rsid w:val="002C6A79"/>
    <w:rsid w:val="002E087E"/>
    <w:rsid w:val="002F08F1"/>
    <w:rsid w:val="002F0A18"/>
    <w:rsid w:val="002F4F29"/>
    <w:rsid w:val="0030775D"/>
    <w:rsid w:val="00314866"/>
    <w:rsid w:val="003224B8"/>
    <w:rsid w:val="0032392B"/>
    <w:rsid w:val="00345AA4"/>
    <w:rsid w:val="00383654"/>
    <w:rsid w:val="00385395"/>
    <w:rsid w:val="003C6FEC"/>
    <w:rsid w:val="003D1624"/>
    <w:rsid w:val="003E3203"/>
    <w:rsid w:val="003F353E"/>
    <w:rsid w:val="004047CC"/>
    <w:rsid w:val="00415EA0"/>
    <w:rsid w:val="00416D59"/>
    <w:rsid w:val="00426A5B"/>
    <w:rsid w:val="00445DD1"/>
    <w:rsid w:val="004B5567"/>
    <w:rsid w:val="004D2510"/>
    <w:rsid w:val="004E1949"/>
    <w:rsid w:val="004E5857"/>
    <w:rsid w:val="0052742A"/>
    <w:rsid w:val="005306E7"/>
    <w:rsid w:val="00555BA8"/>
    <w:rsid w:val="005A4705"/>
    <w:rsid w:val="005C09AB"/>
    <w:rsid w:val="005C663A"/>
    <w:rsid w:val="005D0876"/>
    <w:rsid w:val="005F2FDB"/>
    <w:rsid w:val="006024C2"/>
    <w:rsid w:val="00602553"/>
    <w:rsid w:val="00603296"/>
    <w:rsid w:val="006051AC"/>
    <w:rsid w:val="00605887"/>
    <w:rsid w:val="00622334"/>
    <w:rsid w:val="00624F55"/>
    <w:rsid w:val="0062678D"/>
    <w:rsid w:val="0062726D"/>
    <w:rsid w:val="0065080C"/>
    <w:rsid w:val="00665A77"/>
    <w:rsid w:val="0067288D"/>
    <w:rsid w:val="006A15D6"/>
    <w:rsid w:val="006A5DE7"/>
    <w:rsid w:val="006C437D"/>
    <w:rsid w:val="006D42A1"/>
    <w:rsid w:val="006D7A7A"/>
    <w:rsid w:val="006D7B92"/>
    <w:rsid w:val="007025CC"/>
    <w:rsid w:val="00706C9B"/>
    <w:rsid w:val="0073144C"/>
    <w:rsid w:val="00756366"/>
    <w:rsid w:val="00771250"/>
    <w:rsid w:val="00793812"/>
    <w:rsid w:val="007B0337"/>
    <w:rsid w:val="007B704C"/>
    <w:rsid w:val="007C3C00"/>
    <w:rsid w:val="007E5441"/>
    <w:rsid w:val="00805C45"/>
    <w:rsid w:val="00812A9C"/>
    <w:rsid w:val="00850527"/>
    <w:rsid w:val="00875E14"/>
    <w:rsid w:val="00877D2A"/>
    <w:rsid w:val="0088637A"/>
    <w:rsid w:val="0089271E"/>
    <w:rsid w:val="008A1F9D"/>
    <w:rsid w:val="008E2F33"/>
    <w:rsid w:val="009163C7"/>
    <w:rsid w:val="00927855"/>
    <w:rsid w:val="00952D0A"/>
    <w:rsid w:val="00953DB9"/>
    <w:rsid w:val="00964731"/>
    <w:rsid w:val="00964A12"/>
    <w:rsid w:val="00970DA2"/>
    <w:rsid w:val="00980688"/>
    <w:rsid w:val="00990A85"/>
    <w:rsid w:val="009A663B"/>
    <w:rsid w:val="009B68C3"/>
    <w:rsid w:val="009C28D2"/>
    <w:rsid w:val="009D060A"/>
    <w:rsid w:val="009F1CA3"/>
    <w:rsid w:val="00A15A23"/>
    <w:rsid w:val="00A4487F"/>
    <w:rsid w:val="00A4562F"/>
    <w:rsid w:val="00A55CCA"/>
    <w:rsid w:val="00A57D81"/>
    <w:rsid w:val="00A62425"/>
    <w:rsid w:val="00A92740"/>
    <w:rsid w:val="00AF08E8"/>
    <w:rsid w:val="00B01172"/>
    <w:rsid w:val="00B11159"/>
    <w:rsid w:val="00B2519B"/>
    <w:rsid w:val="00B3242C"/>
    <w:rsid w:val="00B6780F"/>
    <w:rsid w:val="00B83889"/>
    <w:rsid w:val="00B91238"/>
    <w:rsid w:val="00BA7F34"/>
    <w:rsid w:val="00BB5A00"/>
    <w:rsid w:val="00BE19C3"/>
    <w:rsid w:val="00BE36B1"/>
    <w:rsid w:val="00BF2EDC"/>
    <w:rsid w:val="00BF42F0"/>
    <w:rsid w:val="00BF5B0A"/>
    <w:rsid w:val="00C1562C"/>
    <w:rsid w:val="00C24AF4"/>
    <w:rsid w:val="00C2777D"/>
    <w:rsid w:val="00C41B31"/>
    <w:rsid w:val="00C579CB"/>
    <w:rsid w:val="00C7518D"/>
    <w:rsid w:val="00C80AE6"/>
    <w:rsid w:val="00CB7E79"/>
    <w:rsid w:val="00CE5358"/>
    <w:rsid w:val="00D06F9A"/>
    <w:rsid w:val="00D2484A"/>
    <w:rsid w:val="00D34620"/>
    <w:rsid w:val="00D3621A"/>
    <w:rsid w:val="00D71557"/>
    <w:rsid w:val="00D841D9"/>
    <w:rsid w:val="00D854A6"/>
    <w:rsid w:val="00DC26DF"/>
    <w:rsid w:val="00DC7065"/>
    <w:rsid w:val="00DE4DBE"/>
    <w:rsid w:val="00DF3EB7"/>
    <w:rsid w:val="00E41AC4"/>
    <w:rsid w:val="00E44FD4"/>
    <w:rsid w:val="00E86007"/>
    <w:rsid w:val="00ED312C"/>
    <w:rsid w:val="00F20B39"/>
    <w:rsid w:val="00F21AA8"/>
    <w:rsid w:val="00F25CAB"/>
    <w:rsid w:val="00F7113A"/>
    <w:rsid w:val="00F743BD"/>
    <w:rsid w:val="00F94B75"/>
    <w:rsid w:val="00FB2BC8"/>
    <w:rsid w:val="00FB3022"/>
    <w:rsid w:val="00FC10E6"/>
    <w:rsid w:val="00FC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8F5C9B"/>
  <w14:defaultImageDpi w14:val="32767"/>
  <w15:chartTrackingRefBased/>
  <w15:docId w15:val="{88DEF6E2-7964-4B03-BE3B-8376BEB3A0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" w:hAnsi="Times" w:eastAsia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styleId="Normal" w:default="1">
    <w:name w:val="Normal"/>
    <w:qFormat/>
    <w:rsid w:val="00875E14"/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0688"/>
    <w:pPr>
      <w:spacing w:before="100" w:beforeAutospacing="1" w:after="100" w:afterAutospacing="1"/>
    </w:pPr>
    <w:rPr>
      <w:rFonts w:ascii="Times New Roman" w:hAnsi="Times New Roman" w:eastAsia="Times New Roman"/>
      <w:szCs w:val="24"/>
    </w:rPr>
  </w:style>
  <w:style w:type="character" w:styleId="Hyperlink">
    <w:name w:val="Hyperlink"/>
    <w:uiPriority w:val="99"/>
    <w:unhideWhenUsed/>
    <w:rsid w:val="00980688"/>
    <w:rPr>
      <w:color w:val="0563C1"/>
      <w:u w:val="single"/>
    </w:rPr>
  </w:style>
  <w:style w:type="character" w:styleId="UnresolvedMention">
    <w:name w:val="Unresolved Mention"/>
    <w:uiPriority w:val="47"/>
    <w:rsid w:val="0098068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72"/>
    <w:qFormat/>
    <w:rsid w:val="00875E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84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2484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780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2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EDC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F2ED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ED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F2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docdb.sphenix.bnl.gov/cgi-bin/private/ShowDocument?docid=207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indico.bnl.gov/event/10088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C9F13F8E21F40A240E78DF835E721" ma:contentTypeVersion="8" ma:contentTypeDescription="Create a new document." ma:contentTypeScope="" ma:versionID="7a3b0f6ffc7fce4642be258d5c5f7340">
  <xsd:schema xmlns:xsd="http://www.w3.org/2001/XMLSchema" xmlns:xs="http://www.w3.org/2001/XMLSchema" xmlns:p="http://schemas.microsoft.com/office/2006/metadata/properties" xmlns:ns3="b144b1dc-77a5-4b17-aa1a-cf3189630eb6" xmlns:ns4="eed46eea-df07-4d52-a948-077d58a744ae" targetNamespace="http://schemas.microsoft.com/office/2006/metadata/properties" ma:root="true" ma:fieldsID="2e6b1d101e7f7b6feb29ed4ab282bdc4" ns3:_="" ns4:_="">
    <xsd:import namespace="b144b1dc-77a5-4b17-aa1a-cf3189630eb6"/>
    <xsd:import namespace="eed46eea-df07-4d52-a948-077d58a744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4b1dc-77a5-4b17-aa1a-cf3189630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46eea-df07-4d52-a948-077d58a74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71541B-CCED-4224-AD18-7C8A236655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C55F51-088E-4388-8038-34707C48C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4b1dc-77a5-4b17-aa1a-cf3189630eb6"/>
    <ds:schemaRef ds:uri="eed46eea-df07-4d52-a948-077d58a74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00D5B5-08AF-401C-8A47-74B667E905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1</Pages>
  <Words>493</Words>
  <Characters>2813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 Department/Division/Office</vt:lpstr>
    </vt:vector>
  </TitlesOfParts>
  <Company>BNL</Company>
  <LinksUpToDate>false</LinksUpToDate>
  <CharactersWithSpaces>3300</CharactersWithSpaces>
  <SharedDoc>false</SharedDoc>
  <HLinks>
    <vt:vector size="12" baseType="variant">
      <vt:variant>
        <vt:i4>4653056</vt:i4>
      </vt:variant>
      <vt:variant>
        <vt:i4>3</vt:i4>
      </vt:variant>
      <vt:variant>
        <vt:i4>0</vt:i4>
      </vt:variant>
      <vt:variant>
        <vt:i4>5</vt:i4>
      </vt:variant>
      <vt:variant>
        <vt:lpwstr>https://docdb.sphenix.bnl.gov/cgi-bin/private/ShowDocument?docid=207</vt:lpwstr>
      </vt:variant>
      <vt:variant>
        <vt:lpwstr/>
      </vt:variant>
      <vt:variant>
        <vt:i4>2818111</vt:i4>
      </vt:variant>
      <vt:variant>
        <vt:i4>0</vt:i4>
      </vt:variant>
      <vt:variant>
        <vt:i4>0</vt:i4>
      </vt:variant>
      <vt:variant>
        <vt:i4>5</vt:i4>
      </vt:variant>
      <vt:variant>
        <vt:lpwstr>https://indico.bnl.gov/event/10088/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 Department/Division/Office</dc:title>
  <dc:subject/>
  <dc:creator>John Haggerty</dc:creator>
  <cp:keywords/>
  <cp:lastModifiedBy>Feder, Russell</cp:lastModifiedBy>
  <cp:revision>46</cp:revision>
  <cp:lastPrinted>1999-04-13T17:40:00Z</cp:lastPrinted>
  <dcterms:created xsi:type="dcterms:W3CDTF">2020-11-22T20:35:00Z</dcterms:created>
  <dcterms:modified xsi:type="dcterms:W3CDTF">2020-11-23T20:05:00Z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0x01010084EC9F13F8E21F40A240E78DF835E721</vt:lpwstr>
  </property>
</Properties>
</file>