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45916D2A" w14:textId="07CD4175" w:rsidR="00940B1C" w:rsidRDefault="00940B1C" w:rsidP="00940B1C">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7715AB10" w14:textId="77777777" w:rsidR="00940B1C" w:rsidRDefault="00940B1C" w:rsidP="00940B1C">
      <w:pPr>
        <w:autoSpaceDE w:val="0"/>
        <w:autoSpaceDN w:val="0"/>
        <w:adjustRightInd w:val="0"/>
        <w:jc w:val="center"/>
        <w:rPr>
          <w:b/>
          <w:bCs/>
          <w:sz w:val="40"/>
          <w:szCs w:val="40"/>
        </w:rPr>
      </w:pP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2B8B5D03" w14:textId="48DB47E3" w:rsidR="00940B1C" w:rsidRDefault="00833B5D" w:rsidP="00940B1C">
      <w:pPr>
        <w:jc w:val="center"/>
        <w:rPr>
          <w:b/>
          <w:bCs/>
          <w:sz w:val="40"/>
          <w:szCs w:val="40"/>
        </w:rPr>
      </w:pPr>
      <w:r>
        <w:rPr>
          <w:b/>
          <w:bCs/>
          <w:sz w:val="40"/>
          <w:szCs w:val="40"/>
        </w:rPr>
        <w:t xml:space="preserve">July </w:t>
      </w:r>
      <w:r w:rsidR="00945DD3">
        <w:rPr>
          <w:b/>
          <w:bCs/>
          <w:sz w:val="40"/>
          <w:szCs w:val="40"/>
        </w:rPr>
        <w:t>22, 2019</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6B893D39" w:rsidR="00940B1C" w:rsidRPr="003805A9" w:rsidRDefault="00940B1C" w:rsidP="00940B1C">
      <w:pPr>
        <w:pStyle w:val="Heading1"/>
        <w:rPr>
          <w:rFonts w:cs="Arial"/>
        </w:rPr>
      </w:pPr>
      <w:bookmarkStart w:id="0" w:name="_Toc363737431"/>
      <w:bookmarkStart w:id="1" w:name="_Hlk8046478"/>
      <w:r w:rsidRPr="003805A9">
        <w:rPr>
          <w:rFonts w:cs="Arial"/>
          <w:b/>
          <w:bCs/>
        </w:rPr>
        <w:lastRenderedPageBreak/>
        <w:t xml:space="preserve">1 INTRODUCTION </w:t>
      </w:r>
      <w:bookmarkEnd w:id="0"/>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77777777" w:rsidR="0087064B" w:rsidRDefault="0087064B" w:rsidP="00DD63A2">
      <w:pPr>
        <w:pStyle w:val="Heading1"/>
        <w:rPr>
          <w:rFonts w:cs="Arial"/>
          <w:b/>
        </w:rPr>
      </w:pPr>
    </w:p>
    <w:p w14:paraId="57DA6F58" w14:textId="18B006FE" w:rsidR="00940B1C" w:rsidRPr="003805A9" w:rsidRDefault="00940B1C" w:rsidP="00DD63A2">
      <w:pPr>
        <w:pStyle w:val="Heading1"/>
        <w:rPr>
          <w:rFonts w:cs="Arial"/>
          <w:b/>
        </w:rPr>
      </w:pPr>
      <w:r w:rsidRPr="003805A9">
        <w:rPr>
          <w:rFonts w:cs="Arial"/>
          <w:b/>
        </w:rPr>
        <w:t>2</w:t>
      </w:r>
      <w:r w:rsidRPr="003805A9">
        <w:rPr>
          <w:rFonts w:cs="Arial"/>
          <w:b/>
        </w:rPr>
        <w:tab/>
        <w:t>Project Baseline</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lastRenderedPageBreak/>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3B8435BB" w14:textId="77777777" w:rsidR="0087064B" w:rsidRDefault="0087064B" w:rsidP="00DD63A2">
      <w:pPr>
        <w:rPr>
          <w:rFonts w:ascii="Arial" w:hAnsi="Arial" w:cs="Arial"/>
          <w:b/>
          <w:sz w:val="24"/>
          <w:szCs w:val="24"/>
        </w:rPr>
      </w:pPr>
      <w:bookmarkStart w:id="2" w:name="_Toc363737432"/>
      <w:bookmarkEnd w:id="1"/>
    </w:p>
    <w:p w14:paraId="6CC9A98E" w14:textId="77777777" w:rsidR="0087064B" w:rsidRDefault="0087064B" w:rsidP="00DD63A2">
      <w:pPr>
        <w:rPr>
          <w:rFonts w:ascii="Arial" w:hAnsi="Arial" w:cs="Arial"/>
          <w:b/>
          <w:sz w:val="24"/>
          <w:szCs w:val="24"/>
        </w:rPr>
      </w:pPr>
    </w:p>
    <w:p w14:paraId="3FDCCEF2" w14:textId="5A0E2C63"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FUNCTIONAL REQUIREMENTS </w:t>
      </w:r>
      <w:bookmarkEnd w:id="2"/>
    </w:p>
    <w:p w14:paraId="2291CFF7" w14:textId="465DC396" w:rsidR="0059406E" w:rsidRPr="003805A9" w:rsidRDefault="0059406E" w:rsidP="00322C51">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in Table 1 have been demonstrated and the deliverables in Table </w:t>
      </w:r>
      <w:r w:rsidR="00A22234">
        <w:rPr>
          <w:rFonts w:ascii="Arial" w:hAnsi="Arial" w:cs="Arial"/>
          <w:sz w:val="24"/>
          <w:szCs w:val="24"/>
        </w:rPr>
        <w:t>2</w:t>
      </w:r>
      <w:r w:rsidRPr="003805A9">
        <w:rPr>
          <w:rFonts w:ascii="Arial" w:hAnsi="Arial" w:cs="Arial"/>
          <w:sz w:val="24"/>
          <w:szCs w:val="24"/>
        </w:rPr>
        <w:t xml:space="preserve"> are satisfied.</w:t>
      </w:r>
    </w:p>
    <w:p w14:paraId="4EE404CE" w14:textId="77777777" w:rsidR="0059406E" w:rsidRPr="003805A9"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t xml:space="preserve"> </w:t>
      </w: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not interfere with the VT 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noise hit rate for each MVTX shall be less than 0.01% for a threshold </w:t>
      </w:r>
      <w:proofErr w:type="gramStart"/>
      <w:r w:rsidRPr="003805A9">
        <w:rPr>
          <w:rFonts w:ascii="Arial" w:hAnsi="Arial" w:cs="Arial"/>
          <w:sz w:val="24"/>
          <w:szCs w:val="24"/>
        </w:rPr>
        <w:t>of  ~</w:t>
      </w:r>
      <w:proofErr w:type="gramEnd"/>
      <w:r w:rsidRPr="003805A9">
        <w:rPr>
          <w:rFonts w:ascii="Arial" w:hAnsi="Arial" w:cs="Arial"/>
          <w:sz w:val="24"/>
          <w:szCs w:val="24"/>
        </w:rPr>
        <w:t>2000 electrons.</w:t>
      </w:r>
    </w:p>
    <w:p w14:paraId="454AB553"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Survive 200 </w:t>
      </w:r>
      <w:proofErr w:type="spellStart"/>
      <w:r w:rsidRPr="003805A9">
        <w:rPr>
          <w:rFonts w:ascii="Arial" w:hAnsi="Arial" w:cs="Arial"/>
          <w:sz w:val="24"/>
          <w:szCs w:val="24"/>
        </w:rPr>
        <w:t>krad</w:t>
      </w:r>
      <w:proofErr w:type="spellEnd"/>
      <w:r w:rsidRPr="003805A9">
        <w:rPr>
          <w:rFonts w:ascii="Arial" w:hAnsi="Arial" w:cs="Arial"/>
          <w:sz w:val="24"/>
          <w:szCs w:val="24"/>
        </w:rPr>
        <w:t xml:space="preserve"> integrated radiation dose over 10 years.</w:t>
      </w:r>
    </w:p>
    <w:p w14:paraId="5E1B16D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MVTX will function properly under all beam species.</w:t>
      </w:r>
    </w:p>
    <w:p w14:paraId="5047AF83"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MVTX system must work within the existing sPHENIX readout scheme, </w:t>
      </w:r>
    </w:p>
    <w:p w14:paraId="69250F07" w14:textId="37A4D1AC" w:rsidR="0059406E" w:rsidRPr="003805A9"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must store the data for the LVL1 latency (4 </w:t>
      </w:r>
      <w:r w:rsidR="00A22234">
        <w:rPr>
          <w:rFonts w:ascii="Arial" w:hAnsi="Arial" w:cs="Arial"/>
          <w:sz w:val="24"/>
          <w:szCs w:val="24"/>
        </w:rPr>
        <w:t>µ</w:t>
      </w:r>
      <w:r w:rsidRPr="003805A9">
        <w:rPr>
          <w:rFonts w:ascii="Arial" w:hAnsi="Arial" w:cs="Arial"/>
          <w:sz w:val="24"/>
          <w:szCs w:val="24"/>
        </w:rPr>
        <w:t xml:space="preserve">s), </w:t>
      </w:r>
    </w:p>
    <w:p w14:paraId="4DBE6299" w14:textId="77777777" w:rsidR="0059406E" w:rsidRPr="003805A9"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must have a 4-deep buffer of LVL1 accepted events,</w:t>
      </w:r>
    </w:p>
    <w:p w14:paraId="1BD9665E" w14:textId="01711C82" w:rsidR="0059406E" w:rsidRPr="003805A9"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must readout data within 100 </w:t>
      </w:r>
      <w:r w:rsidR="00A22234">
        <w:rPr>
          <w:rFonts w:ascii="Arial" w:hAnsi="Arial" w:cs="Arial"/>
          <w:sz w:val="24"/>
          <w:szCs w:val="24"/>
        </w:rPr>
        <w:t>µ</w:t>
      </w:r>
      <w:r w:rsidRPr="003805A9">
        <w:rPr>
          <w:rFonts w:ascii="Arial" w:hAnsi="Arial" w:cs="Arial"/>
          <w:sz w:val="24"/>
          <w:szCs w:val="24"/>
        </w:rPr>
        <w:t xml:space="preserve">s to its front-end modules (FEMs) off the detector so as to not significantly reduce the maximum rate of sPHENIX Level-1 triggers which is designed to be 10 kHz. </w:t>
      </w:r>
    </w:p>
    <w:p w14:paraId="0480969B" w14:textId="77777777" w:rsidR="0087064B" w:rsidRDefault="0087064B" w:rsidP="0059406E">
      <w:pPr>
        <w:autoSpaceDE w:val="0"/>
        <w:autoSpaceDN w:val="0"/>
        <w:adjustRightInd w:val="0"/>
        <w:jc w:val="both"/>
        <w:rPr>
          <w:rFonts w:ascii="Arial" w:hAnsi="Arial" w:cs="Arial"/>
          <w:sz w:val="24"/>
          <w:szCs w:val="24"/>
        </w:rPr>
      </w:pPr>
    </w:p>
    <w:p w14:paraId="73AD8405" w14:textId="77777777" w:rsidR="0087064B" w:rsidRDefault="0087064B" w:rsidP="0059406E">
      <w:pPr>
        <w:autoSpaceDE w:val="0"/>
        <w:autoSpaceDN w:val="0"/>
        <w:adjustRightInd w:val="0"/>
        <w:jc w:val="both"/>
        <w:rPr>
          <w:rFonts w:ascii="Arial" w:hAnsi="Arial" w:cs="Arial"/>
          <w:sz w:val="24"/>
          <w:szCs w:val="24"/>
        </w:rPr>
      </w:pPr>
    </w:p>
    <w:p w14:paraId="5ED62842" w14:textId="77777777" w:rsidR="0087064B" w:rsidRDefault="0087064B" w:rsidP="0059406E">
      <w:pPr>
        <w:autoSpaceDE w:val="0"/>
        <w:autoSpaceDN w:val="0"/>
        <w:adjustRightInd w:val="0"/>
        <w:jc w:val="both"/>
        <w:rPr>
          <w:rFonts w:ascii="Arial" w:hAnsi="Arial" w:cs="Arial"/>
          <w:sz w:val="24"/>
          <w:szCs w:val="24"/>
        </w:rPr>
      </w:pPr>
    </w:p>
    <w:p w14:paraId="3DC5421B" w14:textId="77777777" w:rsidR="0087064B" w:rsidRDefault="0087064B" w:rsidP="0059406E">
      <w:pPr>
        <w:autoSpaceDE w:val="0"/>
        <w:autoSpaceDN w:val="0"/>
        <w:adjustRightInd w:val="0"/>
        <w:jc w:val="both"/>
        <w:rPr>
          <w:rFonts w:ascii="Arial" w:hAnsi="Arial" w:cs="Arial"/>
          <w:sz w:val="24"/>
          <w:szCs w:val="24"/>
        </w:rPr>
      </w:pPr>
    </w:p>
    <w:p w14:paraId="4FBCADAD" w14:textId="77777777" w:rsidR="0087064B" w:rsidRDefault="0087064B" w:rsidP="0059406E">
      <w:pPr>
        <w:autoSpaceDE w:val="0"/>
        <w:autoSpaceDN w:val="0"/>
        <w:adjustRightInd w:val="0"/>
        <w:jc w:val="both"/>
        <w:rPr>
          <w:rFonts w:ascii="Arial" w:hAnsi="Arial" w:cs="Arial"/>
          <w:sz w:val="24"/>
          <w:szCs w:val="24"/>
        </w:rPr>
      </w:pPr>
    </w:p>
    <w:p w14:paraId="3666731D" w14:textId="77777777" w:rsidR="0087064B" w:rsidRDefault="0087064B" w:rsidP="0059406E">
      <w:pPr>
        <w:autoSpaceDE w:val="0"/>
        <w:autoSpaceDN w:val="0"/>
        <w:adjustRightInd w:val="0"/>
        <w:jc w:val="both"/>
        <w:rPr>
          <w:rFonts w:ascii="Arial" w:hAnsi="Arial" w:cs="Arial"/>
          <w:sz w:val="24"/>
          <w:szCs w:val="24"/>
        </w:rPr>
      </w:pPr>
    </w:p>
    <w:p w14:paraId="2511FE8E" w14:textId="77777777" w:rsidR="0087064B" w:rsidRDefault="0087064B" w:rsidP="0059406E">
      <w:pPr>
        <w:autoSpaceDE w:val="0"/>
        <w:autoSpaceDN w:val="0"/>
        <w:adjustRightInd w:val="0"/>
        <w:jc w:val="both"/>
        <w:rPr>
          <w:rFonts w:ascii="Arial" w:hAnsi="Arial" w:cs="Arial"/>
          <w:sz w:val="24"/>
          <w:szCs w:val="24"/>
        </w:rPr>
      </w:pPr>
    </w:p>
    <w:p w14:paraId="6C3DBBB5" w14:textId="77777777" w:rsidR="0087064B" w:rsidRDefault="0087064B" w:rsidP="0059406E">
      <w:pPr>
        <w:autoSpaceDE w:val="0"/>
        <w:autoSpaceDN w:val="0"/>
        <w:adjustRightInd w:val="0"/>
        <w:jc w:val="both"/>
        <w:rPr>
          <w:rFonts w:ascii="Arial" w:hAnsi="Arial" w:cs="Arial"/>
          <w:sz w:val="24"/>
          <w:szCs w:val="24"/>
        </w:rPr>
      </w:pPr>
    </w:p>
    <w:p w14:paraId="00EB89EE" w14:textId="77777777" w:rsidR="0087064B" w:rsidRDefault="0087064B" w:rsidP="0059406E">
      <w:pPr>
        <w:autoSpaceDE w:val="0"/>
        <w:autoSpaceDN w:val="0"/>
        <w:adjustRightInd w:val="0"/>
        <w:jc w:val="both"/>
        <w:rPr>
          <w:rFonts w:ascii="Arial" w:hAnsi="Arial" w:cs="Arial"/>
          <w:sz w:val="24"/>
          <w:szCs w:val="24"/>
        </w:rPr>
      </w:pPr>
    </w:p>
    <w:p w14:paraId="7F8FACBE" w14:textId="77777777" w:rsidR="0087064B" w:rsidRDefault="0087064B" w:rsidP="0059406E">
      <w:pPr>
        <w:autoSpaceDE w:val="0"/>
        <w:autoSpaceDN w:val="0"/>
        <w:adjustRightInd w:val="0"/>
        <w:jc w:val="both"/>
        <w:rPr>
          <w:rFonts w:ascii="Arial" w:hAnsi="Arial" w:cs="Arial"/>
          <w:sz w:val="24"/>
          <w:szCs w:val="24"/>
        </w:rPr>
      </w:pPr>
    </w:p>
    <w:p w14:paraId="2E6DC940" w14:textId="77777777" w:rsidR="0087064B" w:rsidRDefault="0087064B" w:rsidP="0059406E">
      <w:pPr>
        <w:autoSpaceDE w:val="0"/>
        <w:autoSpaceDN w:val="0"/>
        <w:adjustRightInd w:val="0"/>
        <w:jc w:val="both"/>
        <w:rPr>
          <w:rFonts w:ascii="Arial" w:hAnsi="Arial" w:cs="Arial"/>
          <w:sz w:val="24"/>
          <w:szCs w:val="24"/>
        </w:rPr>
      </w:pPr>
    </w:p>
    <w:p w14:paraId="2E4AAD7F" w14:textId="45E2F214"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Pr="003805A9">
        <w:rPr>
          <w:rFonts w:ascii="Arial" w:hAnsi="Arial" w:cs="Arial"/>
          <w:sz w:val="24"/>
          <w:szCs w:val="24"/>
        </w:rPr>
        <w:fldChar w:fldCharType="begin"/>
      </w:r>
      <w:r w:rsidRPr="003805A9">
        <w:rPr>
          <w:rFonts w:ascii="Arial" w:hAnsi="Arial" w:cs="Arial"/>
          <w:sz w:val="24"/>
          <w:szCs w:val="24"/>
        </w:rPr>
        <w:instrText xml:space="preserve"> REF _Ref134177480 \h </w:instrText>
      </w:r>
      <w:r w:rsidR="003805A9" w:rsidRPr="003805A9">
        <w:rPr>
          <w:rFonts w:ascii="Arial" w:hAnsi="Arial" w:cs="Arial"/>
          <w:sz w:val="24"/>
          <w:szCs w:val="24"/>
        </w:rPr>
        <w:instrText xml:space="preserve"> \* MERGEFORMAT </w:instrText>
      </w:r>
      <w:r w:rsidRPr="003805A9">
        <w:rPr>
          <w:rFonts w:ascii="Arial" w:hAnsi="Arial" w:cs="Arial"/>
          <w:sz w:val="24"/>
          <w:szCs w:val="24"/>
        </w:rPr>
      </w:r>
      <w:r w:rsidRPr="003805A9">
        <w:rPr>
          <w:rFonts w:ascii="Arial" w:hAnsi="Arial" w:cs="Arial"/>
          <w:sz w:val="24"/>
          <w:szCs w:val="24"/>
        </w:rPr>
        <w:fldChar w:fldCharType="separate"/>
      </w:r>
      <w:r w:rsidRPr="003805A9">
        <w:rPr>
          <w:rFonts w:ascii="Arial" w:hAnsi="Arial" w:cs="Arial"/>
          <w:sz w:val="24"/>
          <w:szCs w:val="24"/>
        </w:rPr>
        <w:t xml:space="preserve">Table </w:t>
      </w:r>
      <w:r w:rsidRPr="003805A9">
        <w:rPr>
          <w:rFonts w:ascii="Arial" w:hAnsi="Arial" w:cs="Arial"/>
          <w:noProof/>
          <w:sz w:val="24"/>
          <w:szCs w:val="24"/>
        </w:rPr>
        <w:t>1</w:t>
      </w:r>
      <w:r w:rsidRPr="003805A9">
        <w:rPr>
          <w:rFonts w:ascii="Arial" w:hAnsi="Arial" w:cs="Arial"/>
          <w:sz w:val="24"/>
          <w:szCs w:val="24"/>
        </w:rPr>
        <w:fldChar w:fldCharType="end"/>
      </w:r>
      <w:r w:rsidRPr="003805A9">
        <w:rPr>
          <w:rFonts w:ascii="Arial" w:hAnsi="Arial" w:cs="Arial"/>
          <w:sz w:val="24"/>
          <w:szCs w:val="24"/>
        </w:rPr>
        <w:t xml:space="preserve"> and represents the performance parameters that the project will be responsible for delivering at the project close-out</w:t>
      </w:r>
      <w:r w:rsidR="0087064B">
        <w:rPr>
          <w:rFonts w:ascii="Arial" w:hAnsi="Arial" w:cs="Arial"/>
          <w:sz w:val="24"/>
          <w:szCs w:val="24"/>
        </w:rPr>
        <w:t>.</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77777777"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 xml:space="preserve">Table </w:t>
      </w:r>
      <w:r w:rsidRPr="003805A9">
        <w:rPr>
          <w:rFonts w:ascii="Arial" w:hAnsi="Arial" w:cs="Arial"/>
          <w:sz w:val="24"/>
          <w:szCs w:val="24"/>
        </w:rPr>
        <w:fldChar w:fldCharType="begin"/>
      </w:r>
      <w:r w:rsidRPr="003805A9">
        <w:rPr>
          <w:rFonts w:ascii="Arial" w:hAnsi="Arial" w:cs="Arial"/>
          <w:sz w:val="24"/>
          <w:szCs w:val="24"/>
        </w:rPr>
        <w:instrText xml:space="preserve"> SEQ Table \* ARABIC </w:instrText>
      </w:r>
      <w:r w:rsidRPr="003805A9">
        <w:rPr>
          <w:rFonts w:ascii="Arial" w:hAnsi="Arial" w:cs="Arial"/>
          <w:sz w:val="24"/>
          <w:szCs w:val="24"/>
        </w:rPr>
        <w:fldChar w:fldCharType="separate"/>
      </w:r>
      <w:r w:rsidRPr="003805A9">
        <w:rPr>
          <w:rFonts w:ascii="Arial" w:hAnsi="Arial" w:cs="Arial"/>
          <w:noProof/>
          <w:sz w:val="24"/>
          <w:szCs w:val="24"/>
        </w:rPr>
        <w:t>1</w:t>
      </w:r>
      <w:r w:rsidRPr="003805A9">
        <w:rPr>
          <w:rFonts w:ascii="Arial" w:hAnsi="Arial" w:cs="Arial"/>
          <w:sz w:val="24"/>
          <w:szCs w:val="24"/>
        </w:rPr>
        <w:fldChar w:fldCharType="end"/>
      </w:r>
      <w:bookmarkEnd w:id="3"/>
      <w:r w:rsidRPr="003805A9">
        <w:rPr>
          <w:rFonts w:ascii="Arial" w:hAnsi="Arial" w:cs="Arial"/>
          <w:sz w:val="24"/>
          <w:szCs w:val="24"/>
        </w:rPr>
        <w:t xml:space="preserve"> sPHENIX MVTX System Functional Requirements</w:t>
      </w:r>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pixels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wedge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p>
        </w:tc>
        <w:tc>
          <w:tcPr>
            <w:tcW w:w="4659" w:type="dxa"/>
            <w:shd w:val="clear" w:color="auto" w:fill="auto"/>
          </w:tcPr>
          <w:p w14:paraId="0229247B" w14:textId="77777777"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4 events</w:t>
            </w:r>
          </w:p>
        </w:tc>
      </w:tr>
      <w:tr w:rsidR="0059406E" w:rsidRPr="003805A9" w14:paraId="204B7895" w14:textId="77777777" w:rsidTr="00554F4B">
        <w:trPr>
          <w:trHeight w:val="321"/>
        </w:trPr>
        <w:tc>
          <w:tcPr>
            <w:tcW w:w="4659" w:type="dxa"/>
            <w:shd w:val="clear" w:color="auto" w:fill="auto"/>
          </w:tcPr>
          <w:p w14:paraId="70ABEDCB"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Read-out time</w:t>
            </w:r>
          </w:p>
        </w:tc>
        <w:tc>
          <w:tcPr>
            <w:tcW w:w="4659" w:type="dxa"/>
            <w:shd w:val="clear" w:color="auto" w:fill="auto"/>
          </w:tcPr>
          <w:p w14:paraId="0ECE6D80" w14:textId="581BF7EF"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w:t>
            </w:r>
            <w:r w:rsidRPr="003805A9">
              <w:rPr>
                <w:rFonts w:ascii="Arial" w:hAnsi="Arial" w:cs="Arial"/>
                <w:sz w:val="24"/>
                <w:szCs w:val="24"/>
              </w:rPr>
              <w:t xml:space="preserve">10 </w:t>
            </w:r>
            <w:r w:rsidR="00170373">
              <w:rPr>
                <w:rFonts w:ascii="Arial" w:hAnsi="Arial" w:cs="Arial"/>
                <w:sz w:val="24"/>
                <w:szCs w:val="24"/>
              </w:rPr>
              <w:t>µ</w:t>
            </w:r>
            <w:r w:rsidRPr="003805A9">
              <w:rPr>
                <w:rFonts w:ascii="Arial" w:hAnsi="Arial" w:cs="Arial"/>
                <w:sz w:val="24"/>
                <w:szCs w:val="24"/>
              </w:rPr>
              <w:t>s</w:t>
            </w:r>
          </w:p>
        </w:tc>
      </w:tr>
      <w:tr w:rsidR="0059406E" w:rsidRPr="003805A9" w14:paraId="1A3DEBFF" w14:textId="77777777" w:rsidTr="00554F4B">
        <w:trPr>
          <w:trHeight w:val="311"/>
        </w:trPr>
        <w:tc>
          <w:tcPr>
            <w:tcW w:w="4659" w:type="dxa"/>
            <w:shd w:val="clear" w:color="auto" w:fill="auto"/>
          </w:tcPr>
          <w:p w14:paraId="0A5D9EA2"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Read-out rate</w:t>
            </w:r>
          </w:p>
        </w:tc>
        <w:tc>
          <w:tcPr>
            <w:tcW w:w="4659" w:type="dxa"/>
            <w:shd w:val="clear" w:color="auto" w:fill="auto"/>
          </w:tcPr>
          <w:p w14:paraId="449B70A9"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 10 kHz</w:t>
            </w:r>
          </w:p>
        </w:tc>
      </w:tr>
    </w:tbl>
    <w:p w14:paraId="54935EFE" w14:textId="16A64D2A" w:rsidR="0059406E" w:rsidRDefault="0059406E" w:rsidP="0059406E">
      <w:pPr>
        <w:rPr>
          <w:rFonts w:ascii="Arial" w:hAnsi="Arial" w:cs="Arial"/>
          <w:sz w:val="24"/>
          <w:szCs w:val="24"/>
        </w:rPr>
      </w:pPr>
    </w:p>
    <w:p w14:paraId="04EAF32B" w14:textId="77777777" w:rsidR="0087064B" w:rsidRPr="003805A9" w:rsidRDefault="0087064B" w:rsidP="0059406E">
      <w:pPr>
        <w:rPr>
          <w:rFonts w:ascii="Arial" w:hAnsi="Arial" w:cs="Arial"/>
          <w:sz w:val="24"/>
          <w:szCs w:val="24"/>
        </w:rPr>
      </w:pPr>
    </w:p>
    <w:p w14:paraId="34B00972" w14:textId="0AF2904D" w:rsidR="0059406E" w:rsidRDefault="00170373" w:rsidP="0059406E">
      <w:pPr>
        <w:rPr>
          <w:rFonts w:ascii="Arial" w:hAnsi="Arial" w:cs="Arial"/>
          <w:b/>
          <w:bCs/>
          <w:sz w:val="24"/>
          <w:szCs w:val="24"/>
        </w:rPr>
      </w:pPr>
      <w:r>
        <w:rPr>
          <w:rFonts w:ascii="Arial" w:hAnsi="Arial" w:cs="Arial"/>
          <w:b/>
          <w:bCs/>
          <w:sz w:val="24"/>
          <w:szCs w:val="24"/>
        </w:rPr>
        <w:t>Table 2 MVTX Deliverables</w:t>
      </w:r>
    </w:p>
    <w:tbl>
      <w:tblPr>
        <w:tblStyle w:val="TableGrid"/>
        <w:tblW w:w="0" w:type="auto"/>
        <w:tblLook w:val="04A0" w:firstRow="1" w:lastRow="0" w:firstColumn="1" w:lastColumn="0" w:noHBand="0" w:noVBand="1"/>
      </w:tblPr>
      <w:tblGrid>
        <w:gridCol w:w="3116"/>
        <w:gridCol w:w="3117"/>
        <w:gridCol w:w="3117"/>
      </w:tblGrid>
      <w:tr w:rsidR="00170373" w14:paraId="3CF49836" w14:textId="77777777" w:rsidTr="00170373">
        <w:tc>
          <w:tcPr>
            <w:tcW w:w="3116" w:type="dxa"/>
          </w:tcPr>
          <w:p w14:paraId="14D139F4" w14:textId="2797EE5B" w:rsidR="00170373" w:rsidRDefault="00170373" w:rsidP="0059406E">
            <w:pPr>
              <w:rPr>
                <w:rFonts w:ascii="Arial" w:hAnsi="Arial" w:cs="Arial"/>
                <w:b/>
                <w:bCs/>
                <w:sz w:val="24"/>
                <w:szCs w:val="24"/>
              </w:rPr>
            </w:pPr>
            <w:r>
              <w:rPr>
                <w:rFonts w:ascii="Arial" w:hAnsi="Arial" w:cs="Arial"/>
                <w:b/>
                <w:bCs/>
                <w:sz w:val="24"/>
                <w:szCs w:val="24"/>
              </w:rPr>
              <w:t>ITEM</w:t>
            </w:r>
          </w:p>
        </w:tc>
        <w:tc>
          <w:tcPr>
            <w:tcW w:w="3117" w:type="dxa"/>
          </w:tcPr>
          <w:p w14:paraId="39A8FE10" w14:textId="0A505AE0" w:rsidR="00170373" w:rsidRDefault="00170373" w:rsidP="0059406E">
            <w:pPr>
              <w:rPr>
                <w:rFonts w:ascii="Arial" w:hAnsi="Arial" w:cs="Arial"/>
                <w:b/>
                <w:bCs/>
                <w:sz w:val="24"/>
                <w:szCs w:val="24"/>
              </w:rPr>
            </w:pPr>
            <w:r>
              <w:rPr>
                <w:rFonts w:ascii="Arial" w:hAnsi="Arial" w:cs="Arial"/>
                <w:b/>
                <w:bCs/>
                <w:sz w:val="24"/>
                <w:szCs w:val="24"/>
              </w:rPr>
              <w:t>Quantity</w:t>
            </w:r>
          </w:p>
        </w:tc>
        <w:tc>
          <w:tcPr>
            <w:tcW w:w="3117" w:type="dxa"/>
          </w:tcPr>
          <w:p w14:paraId="23277D09" w14:textId="4FE47556" w:rsidR="00170373" w:rsidRDefault="00170373" w:rsidP="0059406E">
            <w:pPr>
              <w:rPr>
                <w:rFonts w:ascii="Arial" w:hAnsi="Arial" w:cs="Arial"/>
                <w:b/>
                <w:bCs/>
                <w:sz w:val="24"/>
                <w:szCs w:val="24"/>
              </w:rPr>
            </w:pPr>
            <w:r>
              <w:rPr>
                <w:rFonts w:ascii="Arial" w:hAnsi="Arial" w:cs="Arial"/>
                <w:b/>
                <w:bCs/>
                <w:sz w:val="24"/>
                <w:szCs w:val="24"/>
              </w:rPr>
              <w:t>Spares</w:t>
            </w:r>
          </w:p>
        </w:tc>
      </w:tr>
      <w:tr w:rsidR="00170373" w14:paraId="27AB465F" w14:textId="77777777" w:rsidTr="00170373">
        <w:tc>
          <w:tcPr>
            <w:tcW w:w="3116" w:type="dxa"/>
          </w:tcPr>
          <w:p w14:paraId="0E803692" w14:textId="19798865" w:rsidR="00170373" w:rsidRPr="00170373" w:rsidRDefault="00170373" w:rsidP="0059406E">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7BA488B" w14:textId="259492D8" w:rsidR="00170373" w:rsidRPr="00170373" w:rsidRDefault="00170373" w:rsidP="0059406E">
            <w:pPr>
              <w:rPr>
                <w:rFonts w:ascii="Arial" w:hAnsi="Arial" w:cs="Arial"/>
                <w:sz w:val="24"/>
                <w:szCs w:val="24"/>
              </w:rPr>
            </w:pPr>
            <w:r>
              <w:rPr>
                <w:rFonts w:ascii="Arial" w:hAnsi="Arial" w:cs="Arial"/>
                <w:sz w:val="24"/>
                <w:szCs w:val="24"/>
              </w:rPr>
              <w:t>48</w:t>
            </w:r>
          </w:p>
        </w:tc>
        <w:tc>
          <w:tcPr>
            <w:tcW w:w="3117" w:type="dxa"/>
          </w:tcPr>
          <w:p w14:paraId="707DDD9A" w14:textId="5021440D" w:rsidR="00170373" w:rsidRPr="00170373" w:rsidRDefault="00170373" w:rsidP="0059406E">
            <w:pPr>
              <w:rPr>
                <w:rFonts w:ascii="Arial" w:hAnsi="Arial" w:cs="Arial"/>
                <w:sz w:val="24"/>
                <w:szCs w:val="24"/>
              </w:rPr>
            </w:pPr>
            <w:r>
              <w:rPr>
                <w:rFonts w:ascii="Arial" w:hAnsi="Arial" w:cs="Arial"/>
                <w:sz w:val="24"/>
                <w:szCs w:val="24"/>
              </w:rPr>
              <w:t>12</w:t>
            </w:r>
          </w:p>
        </w:tc>
      </w:tr>
      <w:tr w:rsidR="00170373" w14:paraId="61C7F47D" w14:textId="77777777" w:rsidTr="00170373">
        <w:tc>
          <w:tcPr>
            <w:tcW w:w="3116" w:type="dxa"/>
          </w:tcPr>
          <w:p w14:paraId="70B773DD" w14:textId="35ADDF69" w:rsidR="00170373" w:rsidRPr="00170373" w:rsidRDefault="00170373" w:rsidP="0059406E">
            <w:pPr>
              <w:rPr>
                <w:rFonts w:ascii="Arial" w:hAnsi="Arial" w:cs="Arial"/>
                <w:sz w:val="24"/>
                <w:szCs w:val="24"/>
              </w:rPr>
            </w:pPr>
            <w:r>
              <w:rPr>
                <w:rFonts w:ascii="Arial" w:hAnsi="Arial" w:cs="Arial"/>
                <w:sz w:val="24"/>
                <w:szCs w:val="24"/>
              </w:rPr>
              <w:t>Felix Board</w:t>
            </w:r>
          </w:p>
        </w:tc>
        <w:tc>
          <w:tcPr>
            <w:tcW w:w="3117" w:type="dxa"/>
          </w:tcPr>
          <w:p w14:paraId="48E4DED2" w14:textId="6A608EB7" w:rsidR="00170373" w:rsidRPr="00170373" w:rsidRDefault="00170373" w:rsidP="0059406E">
            <w:pPr>
              <w:rPr>
                <w:rFonts w:ascii="Arial" w:hAnsi="Arial" w:cs="Arial"/>
                <w:sz w:val="24"/>
                <w:szCs w:val="24"/>
              </w:rPr>
            </w:pPr>
            <w:r>
              <w:rPr>
                <w:rFonts w:ascii="Arial" w:hAnsi="Arial" w:cs="Arial"/>
                <w:sz w:val="24"/>
                <w:szCs w:val="24"/>
              </w:rPr>
              <w:t>6</w:t>
            </w:r>
          </w:p>
        </w:tc>
        <w:tc>
          <w:tcPr>
            <w:tcW w:w="3117" w:type="dxa"/>
          </w:tcPr>
          <w:p w14:paraId="0F44E9BF" w14:textId="154FFEF0" w:rsidR="00170373" w:rsidRPr="00170373" w:rsidRDefault="00170373" w:rsidP="0059406E">
            <w:pPr>
              <w:rPr>
                <w:rFonts w:ascii="Arial" w:hAnsi="Arial" w:cs="Arial"/>
                <w:sz w:val="24"/>
                <w:szCs w:val="24"/>
              </w:rPr>
            </w:pPr>
            <w:r>
              <w:rPr>
                <w:rFonts w:ascii="Arial" w:hAnsi="Arial" w:cs="Arial"/>
                <w:sz w:val="24"/>
                <w:szCs w:val="24"/>
              </w:rPr>
              <w:t>2</w:t>
            </w:r>
          </w:p>
        </w:tc>
      </w:tr>
      <w:tr w:rsidR="00170373" w14:paraId="6129B984" w14:textId="77777777" w:rsidTr="00170373">
        <w:tc>
          <w:tcPr>
            <w:tcW w:w="3116" w:type="dxa"/>
          </w:tcPr>
          <w:p w14:paraId="4EFB50C7" w14:textId="66723C11" w:rsidR="00170373" w:rsidRPr="00170373" w:rsidRDefault="00170373" w:rsidP="0059406E">
            <w:pPr>
              <w:rPr>
                <w:rFonts w:ascii="Arial" w:hAnsi="Arial" w:cs="Arial"/>
                <w:sz w:val="24"/>
                <w:szCs w:val="24"/>
              </w:rPr>
            </w:pPr>
            <w:r>
              <w:rPr>
                <w:rFonts w:ascii="Arial" w:hAnsi="Arial" w:cs="Arial"/>
                <w:sz w:val="24"/>
                <w:szCs w:val="24"/>
              </w:rPr>
              <w:t>Staves*</w:t>
            </w:r>
          </w:p>
        </w:tc>
        <w:tc>
          <w:tcPr>
            <w:tcW w:w="3117" w:type="dxa"/>
          </w:tcPr>
          <w:p w14:paraId="1A56B551" w14:textId="38C4B2E4" w:rsidR="00170373" w:rsidRPr="00170373" w:rsidRDefault="00170373" w:rsidP="0059406E">
            <w:pPr>
              <w:rPr>
                <w:rFonts w:ascii="Arial" w:hAnsi="Arial" w:cs="Arial"/>
                <w:sz w:val="24"/>
                <w:szCs w:val="24"/>
              </w:rPr>
            </w:pPr>
            <w:r>
              <w:rPr>
                <w:rFonts w:ascii="Arial" w:hAnsi="Arial" w:cs="Arial"/>
                <w:sz w:val="24"/>
                <w:szCs w:val="24"/>
              </w:rPr>
              <w:t>48</w:t>
            </w:r>
          </w:p>
        </w:tc>
        <w:tc>
          <w:tcPr>
            <w:tcW w:w="3117" w:type="dxa"/>
          </w:tcPr>
          <w:p w14:paraId="0B76A1CC" w14:textId="0A654D8F" w:rsidR="00170373" w:rsidRPr="00170373" w:rsidRDefault="00170373" w:rsidP="0059406E">
            <w:pPr>
              <w:rPr>
                <w:rFonts w:ascii="Arial" w:hAnsi="Arial" w:cs="Arial"/>
                <w:sz w:val="24"/>
                <w:szCs w:val="24"/>
              </w:rPr>
            </w:pPr>
            <w:r>
              <w:rPr>
                <w:rFonts w:ascii="Arial" w:hAnsi="Arial" w:cs="Arial"/>
                <w:sz w:val="24"/>
                <w:szCs w:val="24"/>
              </w:rPr>
              <w:t>36</w:t>
            </w:r>
          </w:p>
        </w:tc>
      </w:tr>
      <w:tr w:rsidR="00170373" w14:paraId="4C70B996" w14:textId="77777777" w:rsidTr="00170373">
        <w:tc>
          <w:tcPr>
            <w:tcW w:w="3116" w:type="dxa"/>
          </w:tcPr>
          <w:p w14:paraId="18BEF5D1" w14:textId="416BDAA4" w:rsidR="00170373" w:rsidRPr="00170373" w:rsidRDefault="00170373" w:rsidP="0059406E">
            <w:pPr>
              <w:rPr>
                <w:rFonts w:ascii="Arial" w:hAnsi="Arial" w:cs="Arial"/>
                <w:sz w:val="24"/>
                <w:szCs w:val="24"/>
              </w:rPr>
            </w:pPr>
            <w:r>
              <w:rPr>
                <w:rFonts w:ascii="Arial" w:hAnsi="Arial" w:cs="Arial"/>
                <w:sz w:val="24"/>
                <w:szCs w:val="24"/>
              </w:rPr>
              <w:t>½ Barrel Assembly</w:t>
            </w:r>
          </w:p>
        </w:tc>
        <w:tc>
          <w:tcPr>
            <w:tcW w:w="3117" w:type="dxa"/>
          </w:tcPr>
          <w:p w14:paraId="70E905E0" w14:textId="61AFA064" w:rsidR="00170373" w:rsidRPr="00170373" w:rsidRDefault="00170373" w:rsidP="0059406E">
            <w:pPr>
              <w:rPr>
                <w:rFonts w:ascii="Arial" w:hAnsi="Arial" w:cs="Arial"/>
                <w:sz w:val="24"/>
                <w:szCs w:val="24"/>
              </w:rPr>
            </w:pPr>
            <w:r>
              <w:rPr>
                <w:rFonts w:ascii="Arial" w:hAnsi="Arial" w:cs="Arial"/>
                <w:sz w:val="24"/>
                <w:szCs w:val="24"/>
              </w:rPr>
              <w:t>2</w:t>
            </w:r>
          </w:p>
        </w:tc>
        <w:tc>
          <w:tcPr>
            <w:tcW w:w="3117" w:type="dxa"/>
          </w:tcPr>
          <w:p w14:paraId="36934FFF" w14:textId="29A8FBDD" w:rsidR="00170373" w:rsidRPr="00170373" w:rsidRDefault="00170373" w:rsidP="0059406E">
            <w:pPr>
              <w:rPr>
                <w:rFonts w:ascii="Arial" w:hAnsi="Arial" w:cs="Arial"/>
                <w:sz w:val="24"/>
                <w:szCs w:val="24"/>
              </w:rPr>
            </w:pPr>
            <w:r>
              <w:rPr>
                <w:rFonts w:ascii="Arial" w:hAnsi="Arial" w:cs="Arial"/>
                <w:sz w:val="24"/>
                <w:szCs w:val="24"/>
              </w:rPr>
              <w:t>0</w:t>
            </w:r>
          </w:p>
        </w:tc>
      </w:tr>
      <w:tr w:rsidR="00170373" w14:paraId="185AEE98" w14:textId="77777777" w:rsidTr="00170373">
        <w:tc>
          <w:tcPr>
            <w:tcW w:w="3116" w:type="dxa"/>
          </w:tcPr>
          <w:p w14:paraId="1B8C8211" w14:textId="10E6B0A9" w:rsidR="00170373" w:rsidRPr="00170373" w:rsidRDefault="00170373" w:rsidP="0059406E">
            <w:pPr>
              <w:rPr>
                <w:rFonts w:ascii="Arial" w:hAnsi="Arial" w:cs="Arial"/>
                <w:sz w:val="24"/>
                <w:szCs w:val="24"/>
              </w:rPr>
            </w:pPr>
            <w:r>
              <w:rPr>
                <w:rFonts w:ascii="Arial" w:hAnsi="Arial" w:cs="Arial"/>
                <w:sz w:val="24"/>
                <w:szCs w:val="24"/>
              </w:rPr>
              <w:t>Power Supply</w:t>
            </w:r>
          </w:p>
        </w:tc>
        <w:tc>
          <w:tcPr>
            <w:tcW w:w="3117" w:type="dxa"/>
          </w:tcPr>
          <w:p w14:paraId="78668018" w14:textId="7D13FF8F" w:rsidR="00170373" w:rsidRPr="00170373" w:rsidRDefault="00170373" w:rsidP="0059406E">
            <w:pPr>
              <w:rPr>
                <w:rFonts w:ascii="Arial" w:hAnsi="Arial" w:cs="Arial"/>
                <w:sz w:val="24"/>
                <w:szCs w:val="24"/>
              </w:rPr>
            </w:pPr>
            <w:r>
              <w:rPr>
                <w:rFonts w:ascii="Arial" w:hAnsi="Arial" w:cs="Arial"/>
                <w:sz w:val="24"/>
                <w:szCs w:val="24"/>
              </w:rPr>
              <w:t>1</w:t>
            </w:r>
          </w:p>
        </w:tc>
        <w:tc>
          <w:tcPr>
            <w:tcW w:w="3117" w:type="dxa"/>
          </w:tcPr>
          <w:p w14:paraId="0F4D0239" w14:textId="03400BB0" w:rsidR="00170373" w:rsidRPr="00170373" w:rsidRDefault="00170373" w:rsidP="0059406E">
            <w:pPr>
              <w:rPr>
                <w:rFonts w:ascii="Arial" w:hAnsi="Arial" w:cs="Arial"/>
                <w:sz w:val="24"/>
                <w:szCs w:val="24"/>
              </w:rPr>
            </w:pPr>
            <w:r>
              <w:rPr>
                <w:rFonts w:ascii="Arial" w:hAnsi="Arial" w:cs="Arial"/>
                <w:sz w:val="24"/>
                <w:szCs w:val="24"/>
              </w:rPr>
              <w:t>0</w:t>
            </w:r>
          </w:p>
        </w:tc>
      </w:tr>
      <w:tr w:rsidR="00170373" w14:paraId="516B06B5" w14:textId="77777777" w:rsidTr="00170373">
        <w:tc>
          <w:tcPr>
            <w:tcW w:w="3116" w:type="dxa"/>
          </w:tcPr>
          <w:p w14:paraId="7380054C" w14:textId="1B02B343" w:rsidR="00170373" w:rsidRPr="00170373" w:rsidRDefault="00170373" w:rsidP="0059406E">
            <w:pPr>
              <w:rPr>
                <w:rFonts w:ascii="Arial" w:hAnsi="Arial" w:cs="Arial"/>
                <w:sz w:val="24"/>
                <w:szCs w:val="24"/>
              </w:rPr>
            </w:pPr>
            <w:r>
              <w:rPr>
                <w:rFonts w:ascii="Arial" w:hAnsi="Arial" w:cs="Arial"/>
                <w:sz w:val="24"/>
                <w:szCs w:val="24"/>
              </w:rPr>
              <w:t>Service Barrel</w:t>
            </w:r>
          </w:p>
        </w:tc>
        <w:tc>
          <w:tcPr>
            <w:tcW w:w="3117" w:type="dxa"/>
          </w:tcPr>
          <w:p w14:paraId="11582AC6" w14:textId="51A3BF0C" w:rsidR="00170373" w:rsidRPr="00170373" w:rsidRDefault="00170373" w:rsidP="0059406E">
            <w:pPr>
              <w:rPr>
                <w:rFonts w:ascii="Arial" w:hAnsi="Arial" w:cs="Arial"/>
                <w:sz w:val="24"/>
                <w:szCs w:val="24"/>
              </w:rPr>
            </w:pPr>
            <w:r>
              <w:rPr>
                <w:rFonts w:ascii="Arial" w:hAnsi="Arial" w:cs="Arial"/>
                <w:sz w:val="24"/>
                <w:szCs w:val="24"/>
              </w:rPr>
              <w:t>1</w:t>
            </w:r>
          </w:p>
        </w:tc>
        <w:tc>
          <w:tcPr>
            <w:tcW w:w="3117" w:type="dxa"/>
          </w:tcPr>
          <w:p w14:paraId="7E6DB2A3" w14:textId="500833AB" w:rsidR="00170373" w:rsidRPr="00170373" w:rsidRDefault="00170373" w:rsidP="0059406E">
            <w:pPr>
              <w:rPr>
                <w:rFonts w:ascii="Arial" w:hAnsi="Arial" w:cs="Arial"/>
                <w:sz w:val="24"/>
                <w:szCs w:val="24"/>
              </w:rPr>
            </w:pPr>
            <w:r>
              <w:rPr>
                <w:rFonts w:ascii="Arial" w:hAnsi="Arial" w:cs="Arial"/>
                <w:sz w:val="24"/>
                <w:szCs w:val="24"/>
              </w:rPr>
              <w:t>0</w:t>
            </w:r>
          </w:p>
        </w:tc>
      </w:tr>
    </w:tbl>
    <w:p w14:paraId="05504CA2" w14:textId="47774CEA" w:rsidR="00170373" w:rsidRDefault="00170373" w:rsidP="0059406E">
      <w:pPr>
        <w:rPr>
          <w:rFonts w:ascii="Arial" w:hAnsi="Arial" w:cs="Arial"/>
          <w:b/>
          <w:bCs/>
          <w:sz w:val="24"/>
          <w:szCs w:val="24"/>
        </w:rPr>
      </w:pPr>
    </w:p>
    <w:p w14:paraId="46CE86B2" w14:textId="2BB9E504" w:rsidR="00170373" w:rsidRDefault="00170373" w:rsidP="00170373">
      <w:pPr>
        <w:rPr>
          <w:rFonts w:ascii="Arial" w:hAnsi="Arial" w:cs="Arial"/>
          <w:sz w:val="24"/>
          <w:szCs w:val="24"/>
        </w:rPr>
      </w:pPr>
      <w:r>
        <w:rPr>
          <w:rFonts w:ascii="Arial" w:hAnsi="Arial" w:cs="Arial"/>
          <w:b/>
          <w:bCs/>
          <w:sz w:val="24"/>
          <w:szCs w:val="24"/>
        </w:rPr>
        <w:t>*</w:t>
      </w:r>
      <w:r>
        <w:rPr>
          <w:rFonts w:ascii="Arial" w:hAnsi="Arial" w:cs="Arial"/>
          <w:sz w:val="24"/>
          <w:szCs w:val="24"/>
        </w:rPr>
        <w:t>The RU and Staves are not part of the cost of MVTX project but are still a deliverable.</w:t>
      </w:r>
      <w:r w:rsidR="00A22234">
        <w:rPr>
          <w:rFonts w:ascii="Arial" w:hAnsi="Arial" w:cs="Arial"/>
          <w:sz w:val="24"/>
          <w:szCs w:val="24"/>
        </w:rPr>
        <w:t xml:space="preserve"> </w:t>
      </w:r>
    </w:p>
    <w:p w14:paraId="6893521E" w14:textId="0F6BABCF" w:rsidR="0059406E" w:rsidRPr="003805A9" w:rsidRDefault="00A22234" w:rsidP="0059406E">
      <w:pPr>
        <w:rPr>
          <w:rFonts w:ascii="Arial" w:hAnsi="Arial" w:cs="Arial"/>
          <w:sz w:val="24"/>
          <w:szCs w:val="24"/>
        </w:rPr>
      </w:pPr>
      <w:r>
        <w:rPr>
          <w:rFonts w:ascii="Arial" w:hAnsi="Arial" w:cs="Arial"/>
          <w:sz w:val="24"/>
          <w:szCs w:val="24"/>
        </w:rPr>
        <w:t xml:space="preserve">The Large number of stave spares allows the construction of a </w:t>
      </w:r>
      <w:proofErr w:type="gramStart"/>
      <w:r>
        <w:rPr>
          <w:rFonts w:ascii="Arial" w:hAnsi="Arial" w:cs="Arial"/>
          <w:sz w:val="24"/>
          <w:szCs w:val="24"/>
        </w:rPr>
        <w:t>two layer</w:t>
      </w:r>
      <w:proofErr w:type="gramEnd"/>
      <w:r>
        <w:rPr>
          <w:rFonts w:ascii="Arial" w:hAnsi="Arial" w:cs="Arial"/>
          <w:sz w:val="24"/>
          <w:szCs w:val="24"/>
        </w:rPr>
        <w:t xml:space="preserve"> barrel detector should the three layer detector suffer a catastrophic failure.</w:t>
      </w:r>
    </w:p>
    <w:p w14:paraId="3DC0971C" w14:textId="77777777" w:rsidR="0087064B" w:rsidRDefault="0087064B" w:rsidP="00DD63A2">
      <w:pPr>
        <w:rPr>
          <w:rFonts w:ascii="Arial" w:hAnsi="Arial" w:cs="Arial"/>
          <w:b/>
          <w:sz w:val="24"/>
          <w:szCs w:val="24"/>
        </w:rPr>
      </w:pPr>
      <w:bookmarkStart w:id="6" w:name="_Toc363737433"/>
    </w:p>
    <w:p w14:paraId="49D57100" w14:textId="77777777" w:rsidR="0087064B" w:rsidRDefault="0087064B" w:rsidP="00DD63A2">
      <w:pPr>
        <w:rPr>
          <w:rFonts w:ascii="Arial" w:hAnsi="Arial" w:cs="Arial"/>
          <w:b/>
          <w:sz w:val="24"/>
          <w:szCs w:val="24"/>
        </w:rPr>
      </w:pPr>
    </w:p>
    <w:p w14:paraId="30BD928D" w14:textId="77777777" w:rsidR="0087064B" w:rsidRDefault="0087064B" w:rsidP="00DD63A2">
      <w:pPr>
        <w:rPr>
          <w:rFonts w:ascii="Arial" w:hAnsi="Arial" w:cs="Arial"/>
          <w:b/>
          <w:sz w:val="24"/>
          <w:szCs w:val="24"/>
        </w:rPr>
      </w:pPr>
    </w:p>
    <w:p w14:paraId="24D5DBD4" w14:textId="77777777" w:rsidR="0087064B" w:rsidRDefault="0087064B" w:rsidP="00DD63A2">
      <w:pPr>
        <w:rPr>
          <w:rFonts w:ascii="Arial" w:hAnsi="Arial" w:cs="Arial"/>
          <w:b/>
          <w:sz w:val="24"/>
          <w:szCs w:val="24"/>
        </w:rPr>
      </w:pPr>
    </w:p>
    <w:p w14:paraId="4B585449" w14:textId="77777777" w:rsidR="0087064B" w:rsidRDefault="0087064B" w:rsidP="00DD63A2">
      <w:pPr>
        <w:rPr>
          <w:rFonts w:ascii="Arial" w:hAnsi="Arial" w:cs="Arial"/>
          <w:b/>
          <w:sz w:val="24"/>
          <w:szCs w:val="24"/>
        </w:rPr>
      </w:pPr>
    </w:p>
    <w:p w14:paraId="76C2419B" w14:textId="3B5F1FEB" w:rsidR="0059406E" w:rsidRPr="003805A9" w:rsidRDefault="00DD63A2" w:rsidP="00DD63A2">
      <w:pPr>
        <w:rPr>
          <w:rFonts w:ascii="Arial" w:hAnsi="Arial" w:cs="Arial"/>
          <w:b/>
          <w:sz w:val="24"/>
          <w:szCs w:val="24"/>
        </w:rPr>
      </w:pPr>
      <w:r w:rsidRPr="003805A9">
        <w:rPr>
          <w:rFonts w:ascii="Arial" w:hAnsi="Arial" w:cs="Arial"/>
          <w:b/>
          <w:sz w:val="24"/>
          <w:szCs w:val="24"/>
        </w:rPr>
        <w:t>2.3</w:t>
      </w:r>
      <w:r w:rsidR="0059406E" w:rsidRPr="003805A9">
        <w:rPr>
          <w:rFonts w:ascii="Arial" w:hAnsi="Arial" w:cs="Arial"/>
          <w:b/>
          <w:sz w:val="24"/>
          <w:szCs w:val="24"/>
        </w:rPr>
        <w:t xml:space="preserve"> TECHNICAL SCOPE</w:t>
      </w:r>
      <w:bookmarkEnd w:id="6"/>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3BE353E8" w:rsidR="0059406E" w:rsidRDefault="0059406E" w:rsidP="0059406E">
      <w:pPr>
        <w:pStyle w:val="Caption"/>
        <w:rPr>
          <w:rFonts w:ascii="Arial" w:hAnsi="Arial" w:cs="Arial"/>
          <w:b w:val="0"/>
          <w:sz w:val="24"/>
          <w:szCs w:val="24"/>
        </w:rPr>
      </w:pPr>
      <w:r w:rsidRPr="003805A9">
        <w:rPr>
          <w:rFonts w:ascii="Arial" w:hAnsi="Arial" w:cs="Arial"/>
          <w:b w:val="0"/>
          <w:sz w:val="24"/>
          <w:szCs w:val="24"/>
        </w:rPr>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(b) DAQ electronics, and (c) mechanical and infrastructure. A summary of the design parameters of the MVTX is given in Table 2.</w:t>
      </w:r>
      <w:bookmarkStart w:id="7" w:name="_Ref134177533"/>
      <w:bookmarkStart w:id="8" w:name="_Toc134180096"/>
      <w:bookmarkStart w:id="9" w:name="_Ref170617120"/>
    </w:p>
    <w:p w14:paraId="1B16C8B8" w14:textId="77777777" w:rsidR="0087064B" w:rsidRPr="0087064B" w:rsidRDefault="0087064B" w:rsidP="0087064B"/>
    <w:p w14:paraId="265425F5" w14:textId="6E9D9D83" w:rsidR="0059406E" w:rsidRPr="0087064B" w:rsidRDefault="0059406E" w:rsidP="0087064B">
      <w:pPr>
        <w:pStyle w:val="Caption"/>
        <w:rPr>
          <w:rFonts w:ascii="Arial" w:hAnsi="Arial" w:cs="Arial"/>
          <w:sz w:val="24"/>
          <w:szCs w:val="24"/>
        </w:rPr>
      </w:pPr>
      <w:bookmarkStart w:id="10" w:name="_Toc494889017"/>
      <w:r w:rsidRPr="003805A9">
        <w:rPr>
          <w:rFonts w:ascii="Arial" w:hAnsi="Arial" w:cs="Arial"/>
          <w:sz w:val="24"/>
          <w:szCs w:val="24"/>
        </w:rPr>
        <w:t xml:space="preserve">Table </w:t>
      </w:r>
      <w:bookmarkEnd w:id="7"/>
      <w:r w:rsidR="008C051F">
        <w:rPr>
          <w:rFonts w:ascii="Arial" w:hAnsi="Arial" w:cs="Arial"/>
          <w:sz w:val="24"/>
          <w:szCs w:val="24"/>
        </w:rPr>
        <w:t>3</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8"/>
      <w:r w:rsidRPr="003805A9">
        <w:rPr>
          <w:rFonts w:ascii="Arial" w:hAnsi="Arial" w:cs="Arial"/>
          <w:sz w:val="24"/>
          <w:szCs w:val="24"/>
        </w:rPr>
        <w:t>each MVTX</w:t>
      </w:r>
      <w:bookmarkEnd w:id="9"/>
      <w:bookmarkEnd w:id="10"/>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77777777"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22.4</w:t>
            </w:r>
          </w:p>
        </w:tc>
        <w:tc>
          <w:tcPr>
            <w:tcW w:w="920" w:type="dxa"/>
            <w:vAlign w:val="bottom"/>
          </w:tcPr>
          <w:p w14:paraId="7431230B" w14:textId="77777777"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30.1</w:t>
            </w:r>
          </w:p>
        </w:tc>
        <w:tc>
          <w:tcPr>
            <w:tcW w:w="920" w:type="dxa"/>
            <w:vAlign w:val="bottom"/>
          </w:tcPr>
          <w:p w14:paraId="1C1A41A1" w14:textId="77777777"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37.8</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77777777"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26.7</w:t>
            </w:r>
          </w:p>
        </w:tc>
        <w:tc>
          <w:tcPr>
            <w:tcW w:w="920" w:type="dxa"/>
            <w:vAlign w:val="bottom"/>
          </w:tcPr>
          <w:p w14:paraId="3150A2C0" w14:textId="77777777"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34.6</w:t>
            </w:r>
          </w:p>
        </w:tc>
        <w:tc>
          <w:tcPr>
            <w:tcW w:w="920" w:type="dxa"/>
            <w:vAlign w:val="bottom"/>
          </w:tcPr>
          <w:p w14:paraId="7D805B04" w14:textId="77777777"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42.1</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1" w:name="_Hlk8121175"/>
    </w:p>
    <w:p w14:paraId="40C8302F" w14:textId="77777777" w:rsidR="0087064B" w:rsidRDefault="0087064B" w:rsidP="0014557A">
      <w:pPr>
        <w:pStyle w:val="Heading2"/>
        <w:rPr>
          <w:rFonts w:ascii="Arial" w:hAnsi="Arial" w:cs="Arial"/>
          <w:b/>
          <w:bCs/>
          <w:color w:val="auto"/>
          <w:sz w:val="24"/>
          <w:szCs w:val="24"/>
        </w:rPr>
      </w:pPr>
    </w:p>
    <w:p w14:paraId="66DF9444"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1"/>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5AED4F84"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in </w:t>
      </w:r>
      <w:r w:rsidRPr="003805A9">
        <w:rPr>
          <w:rFonts w:ascii="Arial" w:hAnsi="Arial" w:cs="Arial"/>
          <w:sz w:val="24"/>
          <w:szCs w:val="24"/>
        </w:rPr>
        <w:fldChar w:fldCharType="begin"/>
      </w:r>
      <w:r w:rsidRPr="003805A9">
        <w:rPr>
          <w:rFonts w:ascii="Arial" w:hAnsi="Arial" w:cs="Arial"/>
          <w:sz w:val="24"/>
          <w:szCs w:val="24"/>
        </w:rPr>
        <w:instrText xml:space="preserve"> REF _Ref170637559 \h </w:instrText>
      </w:r>
      <w:r w:rsidR="003805A9" w:rsidRPr="003805A9">
        <w:rPr>
          <w:rFonts w:ascii="Arial" w:hAnsi="Arial" w:cs="Arial"/>
          <w:sz w:val="24"/>
          <w:szCs w:val="24"/>
        </w:rPr>
        <w:instrText xml:space="preserve"> \* MERGEFORMAT </w:instrText>
      </w:r>
      <w:r w:rsidRPr="003805A9">
        <w:rPr>
          <w:rFonts w:ascii="Arial" w:hAnsi="Arial" w:cs="Arial"/>
          <w:sz w:val="24"/>
          <w:szCs w:val="24"/>
        </w:rPr>
      </w:r>
      <w:r w:rsidRPr="003805A9">
        <w:rPr>
          <w:rFonts w:ascii="Arial" w:hAnsi="Arial" w:cs="Arial"/>
          <w:sz w:val="24"/>
          <w:szCs w:val="24"/>
        </w:rPr>
        <w:fldChar w:fldCharType="separate"/>
      </w:r>
      <w:r w:rsidRPr="003805A9">
        <w:rPr>
          <w:rFonts w:ascii="Arial" w:hAnsi="Arial" w:cs="Arial"/>
          <w:sz w:val="24"/>
          <w:szCs w:val="24"/>
        </w:rPr>
        <w:t xml:space="preserve">Figure </w:t>
      </w:r>
      <w:r w:rsidRPr="003805A9">
        <w:rPr>
          <w:rFonts w:ascii="Arial" w:hAnsi="Arial" w:cs="Arial"/>
          <w:noProof/>
          <w:sz w:val="24"/>
          <w:szCs w:val="24"/>
        </w:rPr>
        <w:t>4</w:t>
      </w:r>
      <w:r w:rsidRPr="003805A9">
        <w:rPr>
          <w:rFonts w:ascii="Arial" w:hAnsi="Arial" w:cs="Arial"/>
          <w:sz w:val="24"/>
          <w:szCs w:val="24"/>
        </w:rPr>
        <w:fldChar w:fldCharType="end"/>
      </w:r>
      <w:r w:rsidRPr="003805A9">
        <w:rPr>
          <w:rFonts w:ascii="Arial" w:hAnsi="Arial" w:cs="Arial"/>
          <w:sz w:val="24"/>
          <w:szCs w:val="24"/>
        </w:rPr>
        <w:t xml:space="preserve"> . The inflation adjusted costs of the MVTX project is $</w:t>
      </w:r>
      <w:r w:rsidR="003805A9" w:rsidRPr="003805A9">
        <w:rPr>
          <w:rFonts w:ascii="Arial" w:hAnsi="Arial" w:cs="Arial"/>
          <w:sz w:val="24"/>
          <w:szCs w:val="24"/>
        </w:rPr>
        <w:t xml:space="preserve"> 3.</w:t>
      </w:r>
      <w:r w:rsidR="00042834">
        <w:rPr>
          <w:rFonts w:ascii="Arial" w:hAnsi="Arial" w:cs="Arial"/>
          <w:sz w:val="24"/>
          <w:szCs w:val="24"/>
        </w:rPr>
        <w:t>9</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31E76676"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Figure 4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0FD5350E"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3.20.3.02.01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$498.9k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$63.2k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$562.1k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2708F2B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9EDBD5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039CCA8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$454.8k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$400.0k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$854.8k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$2406.4k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$1488.7k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$3895.1k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p>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8C17F2D"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p>
    <w:p w14:paraId="3533F670" w14:textId="669D6621"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April 2019 through conceptual design efforts performed under the LANL LDRD.  With a MVTX start date of </w:t>
      </w:r>
      <w:r w:rsidR="009A1957">
        <w:rPr>
          <w:rFonts w:ascii="Arial" w:hAnsi="Arial" w:cs="Arial"/>
          <w:sz w:val="24"/>
          <w:szCs w:val="24"/>
        </w:rPr>
        <w:t xml:space="preserve">October </w:t>
      </w:r>
      <w:r w:rsidRPr="003805A9">
        <w:rPr>
          <w:rFonts w:ascii="Arial" w:hAnsi="Arial" w:cs="Arial"/>
          <w:sz w:val="24"/>
          <w:szCs w:val="24"/>
        </w:rPr>
        <w:t>2019 the MVTX is ready for commissioning at the end of September 2022. The beginning installation of the MVTX is constrained by the finish date of the sPHENIX 7/1/2022.  The fully tested silicon barrels are delivered to BNL for full system tests in 2/26/2021. The electronics arrive at BNL on 8/8/28/20.</w:t>
      </w:r>
    </w:p>
    <w:p w14:paraId="6C016F0C" w14:textId="23D59971" w:rsidR="00A22234" w:rsidRPr="003805A9" w:rsidRDefault="00C43672" w:rsidP="00940B1C">
      <w:pPr>
        <w:rPr>
          <w:rFonts w:ascii="Arial" w:hAnsi="Arial" w:cs="Arial"/>
          <w:sz w:val="24"/>
          <w:szCs w:val="24"/>
        </w:rPr>
      </w:pPr>
      <w:r w:rsidRPr="00C43672">
        <w:rPr>
          <w:rFonts w:ascii="Arial" w:hAnsi="Arial" w:cs="Arial"/>
          <w:sz w:val="24"/>
          <w:szCs w:val="24"/>
        </w:rPr>
        <w:drawing>
          <wp:inline distT="0" distB="0" distL="0" distR="0" wp14:anchorId="151F4B4B" wp14:editId="5FAB01A9">
            <wp:extent cx="5943600" cy="3517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17265"/>
                    </a:xfrm>
                    <a:prstGeom prst="rect">
                      <a:avLst/>
                    </a:prstGeom>
                  </pic:spPr>
                </pic:pic>
              </a:graphicData>
            </a:graphic>
          </wp:inline>
        </w:drawing>
      </w:r>
    </w:p>
    <w:p w14:paraId="2876BE57" w14:textId="546C56FF" w:rsidR="0087064B" w:rsidRDefault="006E142A" w:rsidP="00A22234">
      <w:pPr>
        <w:rPr>
          <w:rFonts w:ascii="Arial" w:hAnsi="Arial" w:cs="Arial"/>
          <w:sz w:val="24"/>
          <w:szCs w:val="24"/>
        </w:rPr>
      </w:pPr>
      <w:r>
        <w:rPr>
          <w:rFonts w:ascii="Arial" w:hAnsi="Arial" w:cs="Arial"/>
          <w:sz w:val="24"/>
          <w:szCs w:val="24"/>
        </w:rPr>
        <w:t>Figure 1. Simplified schedule showing the MVTX will be ready for beam at the end of FY 2022.</w:t>
      </w:r>
    </w:p>
    <w:p w14:paraId="24F67E24" w14:textId="00098AF4"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FY2021.</w:t>
      </w:r>
    </w:p>
    <w:p w14:paraId="00DD204B" w14:textId="2FB0955D" w:rsidR="0087064B" w:rsidRDefault="0087064B" w:rsidP="003805A9">
      <w:pPr>
        <w:autoSpaceDE w:val="0"/>
        <w:autoSpaceDN w:val="0"/>
        <w:adjustRightInd w:val="0"/>
        <w:spacing w:after="0" w:line="240" w:lineRule="auto"/>
        <w:rPr>
          <w:rFonts w:ascii="Arial" w:hAnsi="Arial" w:cs="Arial"/>
          <w:sz w:val="24"/>
          <w:szCs w:val="24"/>
        </w:rPr>
      </w:pP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7B121C8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.2 Milestones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6AC8C904"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Table 4</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77777777" w:rsidR="0087064B" w:rsidRDefault="0087064B" w:rsidP="003805A9">
      <w:pPr>
        <w:autoSpaceDE w:val="0"/>
        <w:autoSpaceDN w:val="0"/>
        <w:adjustRightInd w:val="0"/>
        <w:spacing w:after="0" w:line="240" w:lineRule="auto"/>
        <w:rPr>
          <w:rFonts w:ascii="Arial" w:hAnsi="Arial" w:cs="Arial"/>
          <w:sz w:val="24"/>
          <w:szCs w:val="24"/>
        </w:rPr>
      </w:pPr>
    </w:p>
    <w:p w14:paraId="7DE5EFA3" w14:textId="02798795"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Table 4 Milestones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Start Construction</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2020</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2021</w:t>
            </w:r>
          </w:p>
        </w:tc>
      </w:tr>
      <w:tr w:rsidR="00F44310"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proofErr w:type="spellStart"/>
            <w:r w:rsidRPr="00F44310">
              <w:rPr>
                <w:rFonts w:ascii="Calibri" w:eastAsia="Times New Roman" w:hAnsi="Calibri" w:cs="Calibri"/>
                <w:color w:val="000000" w:themeColor="dark1"/>
                <w:kern w:val="24"/>
                <w:position w:val="12"/>
                <w:sz w:val="28"/>
                <w:szCs w:val="28"/>
                <w:vertAlign w:val="superscript"/>
              </w:rPr>
              <w:t>rd</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2021</w:t>
            </w:r>
          </w:p>
        </w:tc>
      </w:tr>
      <w:tr w:rsidR="00F44310"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2022</w:t>
            </w:r>
          </w:p>
        </w:tc>
      </w:tr>
      <w:tr w:rsidR="00F44310"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2023</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3E3F3EF" w14:textId="5764294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1C270DDF"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in Table 5</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1E0B50E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Table 5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1C2E091"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82F9001"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9025801" w14:textId="22D96FFF"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AAA519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B453A3A" w14:textId="77777777" w:rsidR="0031206A" w:rsidRPr="0031206A" w:rsidRDefault="0031206A" w:rsidP="003805A9">
      <w:pPr>
        <w:autoSpaceDE w:val="0"/>
        <w:autoSpaceDN w:val="0"/>
        <w:adjustRightInd w:val="0"/>
        <w:spacing w:after="0" w:line="240" w:lineRule="auto"/>
        <w:rPr>
          <w:rFonts w:ascii="Arial" w:hAnsi="Arial" w:cs="Arial"/>
          <w:sz w:val="24"/>
          <w:szCs w:val="24"/>
        </w:rPr>
      </w:pPr>
    </w:p>
    <w:p w14:paraId="3CF18694" w14:textId="3E62CEFD" w:rsidR="003805A9" w:rsidRPr="003805A9" w:rsidRDefault="003805A9" w:rsidP="003805A9">
      <w:pPr>
        <w:autoSpaceDE w:val="0"/>
        <w:autoSpaceDN w:val="0"/>
        <w:adjustRightInd w:val="0"/>
        <w:spacing w:after="0" w:line="240" w:lineRule="auto"/>
        <w:rPr>
          <w:rFonts w:ascii="Arial" w:hAnsi="Arial" w:cs="Arial"/>
          <w:b/>
          <w:bCs/>
          <w:sz w:val="24"/>
          <w:szCs w:val="24"/>
        </w:rPr>
      </w:pPr>
      <w:bookmarkStart w:id="12" w:name="_GoBack"/>
      <w:bookmarkEnd w:id="12"/>
      <w:r w:rsidRPr="003805A9">
        <w:rPr>
          <w:rFonts w:ascii="Arial" w:hAnsi="Arial" w:cs="Arial"/>
          <w:noProof/>
          <w:sz w:val="24"/>
          <w:szCs w:val="24"/>
        </w:rPr>
        <w:drawing>
          <wp:inline distT="0" distB="0" distL="0" distR="0" wp14:anchorId="78686932" wp14:editId="6B1D3DFF">
            <wp:extent cx="5821680" cy="3832860"/>
            <wp:effectExtent l="0" t="0" r="7620" b="15240"/>
            <wp:docPr id="2" name="Chart 2">
              <a:extLst xmlns:a="http://schemas.openxmlformats.org/drawingml/2006/main">
                <a:ext uri="{FF2B5EF4-FFF2-40B4-BE49-F238E27FC236}">
                  <a16:creationId xmlns:a16="http://schemas.microsoft.com/office/drawing/2014/main" id="{5E5B1F5C-3D19-4740-B078-0C5AAFF6B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ED2F5EA" w14:textId="3BE28114"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9FE1504" w14:textId="7B7E9FEC"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5764202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using the thresholds described in Table 6-</w:t>
      </w:r>
      <w:proofErr w:type="gramStart"/>
      <w:r w:rsidRPr="003805A9">
        <w:rPr>
          <w:rFonts w:ascii="Arial" w:hAnsi="Arial" w:cs="Arial"/>
          <w:sz w:val="24"/>
          <w:szCs w:val="24"/>
        </w:rPr>
        <w:t>1 .</w:t>
      </w:r>
      <w:proofErr w:type="gramEnd"/>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lastRenderedPageBreak/>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6102154F" w14:textId="2384B468" w:rsidR="00A452A7" w:rsidRDefault="00A452A7" w:rsidP="003805A9">
      <w:pPr>
        <w:autoSpaceDE w:val="0"/>
        <w:autoSpaceDN w:val="0"/>
        <w:adjustRightInd w:val="0"/>
        <w:spacing w:after="0" w:line="240" w:lineRule="auto"/>
        <w:rPr>
          <w:rFonts w:ascii="Arial" w:hAnsi="Arial" w:cs="Arial"/>
          <w:sz w:val="24"/>
          <w:szCs w:val="24"/>
        </w:rPr>
      </w:pP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04A22D7E" w14:textId="77777777" w:rsidR="00A452A7" w:rsidRDefault="00A452A7" w:rsidP="00EE269D">
      <w:pPr>
        <w:autoSpaceDE w:val="0"/>
        <w:autoSpaceDN w:val="0"/>
        <w:adjustRightInd w:val="0"/>
        <w:spacing w:after="0" w:line="240" w:lineRule="auto"/>
        <w:rPr>
          <w:rFonts w:ascii="Arial" w:hAnsi="Arial" w:cs="Arial"/>
          <w:b/>
          <w:bCs/>
          <w:color w:val="000000"/>
          <w:sz w:val="24"/>
          <w:szCs w:val="24"/>
        </w:rPr>
      </w:pPr>
    </w:p>
    <w:p w14:paraId="151117E2" w14:textId="77777777" w:rsidR="00A452A7" w:rsidRDefault="00A452A7" w:rsidP="00EE269D">
      <w:pPr>
        <w:autoSpaceDE w:val="0"/>
        <w:autoSpaceDN w:val="0"/>
        <w:adjustRightInd w:val="0"/>
        <w:spacing w:after="0" w:line="240" w:lineRule="auto"/>
        <w:rPr>
          <w:rFonts w:ascii="Arial" w:hAnsi="Arial" w:cs="Arial"/>
          <w:b/>
          <w:bCs/>
          <w:color w:val="000000"/>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1016E0EC"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The management structure of the MVTX is shown in figure</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75DF2D4F" w14:textId="4F1E8190" w:rsidR="00A452A7" w:rsidRDefault="00E050F3" w:rsidP="00EE269D">
      <w:pPr>
        <w:autoSpaceDE w:val="0"/>
        <w:autoSpaceDN w:val="0"/>
        <w:adjustRightInd w:val="0"/>
        <w:spacing w:after="0" w:line="240" w:lineRule="auto"/>
        <w:rPr>
          <w:rFonts w:ascii="Cambria" w:hAnsi="Cambria" w:cs="Cambria"/>
          <w:color w:val="FFFFFF"/>
          <w:sz w:val="18"/>
          <w:szCs w:val="18"/>
        </w:rPr>
      </w:pPr>
      <w:r w:rsidRPr="00E050F3">
        <w:rPr>
          <w:rFonts w:ascii="Cambria" w:hAnsi="Cambria" w:cs="Cambria"/>
          <w:color w:val="FFFFFF"/>
          <w:sz w:val="18"/>
          <w:szCs w:val="18"/>
        </w:rPr>
        <w:drawing>
          <wp:inline distT="0" distB="0" distL="0" distR="0" wp14:anchorId="605D5D5C" wp14:editId="5D343C45">
            <wp:extent cx="5943600" cy="4451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1350"/>
                    </a:xfrm>
                    <a:prstGeom prst="rect">
                      <a:avLst/>
                    </a:prstGeom>
                  </pic:spPr>
                </pic:pic>
              </a:graphicData>
            </a:graphic>
          </wp:inline>
        </w:drawing>
      </w: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3872DF8A" w14:textId="43E9F354"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lastRenderedPageBreak/>
        <w:t>Manages the execution of the project to ensure that the project is completed</w:t>
      </w:r>
    </w:p>
    <w:p w14:paraId="19134790"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1D0E02A4" w14:textId="77777777" w:rsidR="00897DA9" w:rsidRPr="00EE269D" w:rsidRDefault="00897DA9"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548987EB" w14:textId="44A35BEB" w:rsidR="00EE269D" w:rsidRPr="00EE269D"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8A1247">
      <w:pPr>
        <w:autoSpaceDE w:val="0"/>
        <w:autoSpaceDN w:val="0"/>
        <w:adjustRightInd w:val="0"/>
        <w:spacing w:after="0" w:line="240" w:lineRule="auto"/>
        <w:ind w:left="360"/>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23681192"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2F229CE3"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The risk management Plan can be found in Appendix C. The most important risks</w:t>
      </w:r>
    </w:p>
    <w:p w14:paraId="5DE98F8C" w14:textId="48C3ADC1"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p>
    <w:p w14:paraId="5AC0AE76" w14:textId="59F19CBA"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77777777" w:rsidR="0031206A" w:rsidRDefault="0031206A"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the </w:t>
      </w:r>
      <w:r>
        <w:rPr>
          <w:rFonts w:ascii="Cambria" w:hAnsi="Cambria" w:cs="Cambria"/>
          <w:color w:val="0000FF"/>
          <w:sz w:val="24"/>
          <w:szCs w:val="24"/>
        </w:rPr>
        <w:t>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20</w:t>
      </w: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4D577C1F" w:rsidR="00EE269D" w:rsidRDefault="00EE269D" w:rsidP="00EE269D">
      <w:pPr>
        <w:autoSpaceDE w:val="0"/>
        <w:autoSpaceDN w:val="0"/>
        <w:adjustRightInd w:val="0"/>
        <w:spacing w:after="0" w:line="240" w:lineRule="auto"/>
        <w:rPr>
          <w:rFonts w:ascii="Cambria" w:hAnsi="Cambria" w:cs="Cambria"/>
          <w:color w:val="000000"/>
          <w:sz w:val="24"/>
          <w:szCs w:val="24"/>
        </w:rPr>
      </w:pPr>
    </w:p>
    <w:p w14:paraId="3487C14D"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The project will prepare</w:t>
      </w:r>
      <w:r w:rsidR="00FE746A">
        <w:rPr>
          <w:rFonts w:ascii="Cambria" w:hAnsi="Cambria" w:cs="Cambria"/>
          <w:color w:val="000000"/>
          <w:sz w:val="24"/>
          <w:szCs w:val="24"/>
        </w:rPr>
        <w:t xml:space="preserve"> </w:t>
      </w:r>
      <w:r>
        <w:rPr>
          <w:rFonts w:ascii="Cambria" w:hAnsi="Cambria" w:cs="Cambria"/>
          <w:color w:val="000000"/>
          <w:sz w:val="24"/>
          <w:szCs w:val="24"/>
        </w:rPr>
        <w:t>designs and work procedures and have them reviewed by the appropriate 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77777777"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3AD5465"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w:t>
      </w:r>
      <w:proofErr w:type="gramStart"/>
      <w:r w:rsidR="0031206A">
        <w:rPr>
          <w:rFonts w:ascii="Cambria" w:hAnsi="Cambria" w:cs="Cambria"/>
          <w:color w:val="000000"/>
          <w:sz w:val="24"/>
          <w:szCs w:val="24"/>
        </w:rPr>
        <w:t xml:space="preserve">requirements </w:t>
      </w:r>
      <w:r>
        <w:rPr>
          <w:rFonts w:ascii="Cambria" w:hAnsi="Cambria" w:cs="Cambria"/>
          <w:color w:val="000000"/>
          <w:sz w:val="24"/>
          <w:szCs w:val="24"/>
        </w:rPr>
        <w:t xml:space="preserve"> have</w:t>
      </w:r>
      <w:proofErr w:type="gramEnd"/>
      <w:r>
        <w:rPr>
          <w:rFonts w:ascii="Cambria" w:hAnsi="Cambria" w:cs="Cambria"/>
          <w:color w:val="000000"/>
          <w:sz w:val="24"/>
          <w:szCs w:val="24"/>
        </w:rPr>
        <w:t xml:space="preser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095AC3EE" w14:textId="09437900" w:rsidR="00FE746A" w:rsidRDefault="00FE746A">
      <w:pPr>
        <w:rPr>
          <w:rFonts w:ascii="Arial" w:hAnsi="Arial" w:cs="Arial"/>
          <w:sz w:val="24"/>
          <w:szCs w:val="24"/>
        </w:rPr>
      </w:pPr>
      <w:r>
        <w:rPr>
          <w:rFonts w:ascii="Arial" w:hAnsi="Arial" w:cs="Arial"/>
          <w:sz w:val="24"/>
          <w:szCs w:val="24"/>
        </w:rPr>
        <w:t>Appendix 1</w:t>
      </w:r>
    </w:p>
    <w:p w14:paraId="7C85BBE1" w14:textId="48DB03B0" w:rsidR="00FE746A" w:rsidRPr="003805A9" w:rsidRDefault="00CE6C50">
      <w:pPr>
        <w:rPr>
          <w:rFonts w:ascii="Arial" w:hAnsi="Arial" w:cs="Arial"/>
          <w:sz w:val="24"/>
          <w:szCs w:val="24"/>
        </w:rPr>
      </w:pPr>
      <w:r>
        <w:rPr>
          <w:rFonts w:ascii="Arial" w:hAnsi="Arial" w:cs="Arial"/>
          <w:sz w:val="24"/>
          <w:szCs w:val="24"/>
        </w:rPr>
        <w:t xml:space="preserve">MVTX Full Proposal (Feb. 2018). </w:t>
      </w:r>
    </w:p>
    <w:sectPr w:rsidR="00FE746A" w:rsidRPr="003805A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2E1D6" w14:textId="77777777" w:rsidR="00865033" w:rsidRDefault="00865033" w:rsidP="00940B1C">
      <w:pPr>
        <w:spacing w:after="0" w:line="240" w:lineRule="auto"/>
      </w:pPr>
      <w:r>
        <w:separator/>
      </w:r>
    </w:p>
  </w:endnote>
  <w:endnote w:type="continuationSeparator" w:id="0">
    <w:p w14:paraId="4F841B2D" w14:textId="77777777" w:rsidR="00865033" w:rsidRDefault="00865033"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2D4" w14:textId="77777777" w:rsidR="00AC3003" w:rsidRDefault="00AC3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58EB" w14:textId="77777777" w:rsidR="00AC3003" w:rsidRDefault="00AC3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AC3003" w:rsidRDefault="00AC3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B68D7" w14:textId="77777777" w:rsidR="00865033" w:rsidRDefault="00865033" w:rsidP="00940B1C">
      <w:pPr>
        <w:spacing w:after="0" w:line="240" w:lineRule="auto"/>
      </w:pPr>
      <w:r>
        <w:separator/>
      </w:r>
    </w:p>
  </w:footnote>
  <w:footnote w:type="continuationSeparator" w:id="0">
    <w:p w14:paraId="2DAB295F" w14:textId="77777777" w:rsidR="00865033" w:rsidRDefault="00865033"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AC3003" w:rsidRDefault="00AC3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AC3003" w:rsidRDefault="00865033">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AC3003" w:rsidRDefault="00AC3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FEFA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42834"/>
    <w:rsid w:val="000B359E"/>
    <w:rsid w:val="000C04FB"/>
    <w:rsid w:val="000D2B03"/>
    <w:rsid w:val="00134CC4"/>
    <w:rsid w:val="0014557A"/>
    <w:rsid w:val="00170373"/>
    <w:rsid w:val="001E3FD7"/>
    <w:rsid w:val="001F2AD1"/>
    <w:rsid w:val="002225DD"/>
    <w:rsid w:val="0031206A"/>
    <w:rsid w:val="00322C51"/>
    <w:rsid w:val="003805A9"/>
    <w:rsid w:val="00444531"/>
    <w:rsid w:val="00491CB0"/>
    <w:rsid w:val="004A76B8"/>
    <w:rsid w:val="00554F4B"/>
    <w:rsid w:val="00567308"/>
    <w:rsid w:val="0059406E"/>
    <w:rsid w:val="00630C51"/>
    <w:rsid w:val="006A2FB0"/>
    <w:rsid w:val="006E142A"/>
    <w:rsid w:val="00833B5D"/>
    <w:rsid w:val="00865033"/>
    <w:rsid w:val="0087064B"/>
    <w:rsid w:val="00897DA9"/>
    <w:rsid w:val="008A1247"/>
    <w:rsid w:val="008C051F"/>
    <w:rsid w:val="00940B1C"/>
    <w:rsid w:val="00945DD3"/>
    <w:rsid w:val="009A1957"/>
    <w:rsid w:val="00A22234"/>
    <w:rsid w:val="00A452A7"/>
    <w:rsid w:val="00AC0A32"/>
    <w:rsid w:val="00AC3003"/>
    <w:rsid w:val="00AD4B71"/>
    <w:rsid w:val="00B101B5"/>
    <w:rsid w:val="00B238D8"/>
    <w:rsid w:val="00BA339A"/>
    <w:rsid w:val="00BB5B0D"/>
    <w:rsid w:val="00C43672"/>
    <w:rsid w:val="00C65726"/>
    <w:rsid w:val="00CE6C50"/>
    <w:rsid w:val="00DD63A2"/>
    <w:rsid w:val="00E00FF0"/>
    <w:rsid w:val="00E050F3"/>
    <w:rsid w:val="00E264DB"/>
    <w:rsid w:val="00ED4AE8"/>
    <w:rsid w:val="00EE269D"/>
    <w:rsid w:val="00F44310"/>
    <w:rsid w:val="00FC7D5A"/>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Cost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Sheet1!$B$3:$F$3</c:f>
              <c:strCache>
                <c:ptCount val="5"/>
                <c:pt idx="0">
                  <c:v>FY2019</c:v>
                </c:pt>
                <c:pt idx="1">
                  <c:v>FY2020</c:v>
                </c:pt>
                <c:pt idx="2">
                  <c:v>FY2021</c:v>
                </c:pt>
                <c:pt idx="3">
                  <c:v>FY2022</c:v>
                </c:pt>
                <c:pt idx="4">
                  <c:v>FY2023</c:v>
                </c:pt>
              </c:strCache>
            </c:strRef>
          </c:cat>
          <c:val>
            <c:numRef>
              <c:f>Sheet1!$B$4:$F$4</c:f>
              <c:numCache>
                <c:formatCode>General</c:formatCode>
                <c:ptCount val="5"/>
                <c:pt idx="0">
                  <c:v>991</c:v>
                </c:pt>
                <c:pt idx="1">
                  <c:v>1777</c:v>
                </c:pt>
                <c:pt idx="2">
                  <c:v>481</c:v>
                </c:pt>
                <c:pt idx="3">
                  <c:v>309</c:v>
                </c:pt>
                <c:pt idx="4">
                  <c:v>51</c:v>
                </c:pt>
              </c:numCache>
            </c:numRef>
          </c:val>
          <c:extLst>
            <c:ext xmlns:c16="http://schemas.microsoft.com/office/drawing/2014/chart" uri="{C3380CC4-5D6E-409C-BE32-E72D297353CC}">
              <c16:uniqueId val="{00000000-E9BD-4B25-A0D1-CE5F06626B77}"/>
            </c:ext>
          </c:extLst>
        </c:ser>
        <c:dLbls>
          <c:showLegendKey val="0"/>
          <c:showVal val="0"/>
          <c:showCatName val="0"/>
          <c:showSerName val="0"/>
          <c:showPercent val="0"/>
          <c:showBubbleSize val="0"/>
        </c:dLbls>
        <c:gapWidth val="219"/>
        <c:overlap val="-27"/>
        <c:axId val="569054224"/>
        <c:axId val="569048648"/>
      </c:barChart>
      <c:catAx>
        <c:axId val="5690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48648"/>
        <c:crosses val="autoZero"/>
        <c:auto val="1"/>
        <c:lblAlgn val="ctr"/>
        <c:lblOffset val="100"/>
        <c:noMultiLvlLbl val="0"/>
      </c:catAx>
      <c:valAx>
        <c:axId val="569048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5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a:extLst xmlns:a="http://schemas.openxmlformats.org/drawingml/2006/main">
            <a:ext uri="{FF2B5EF4-FFF2-40B4-BE49-F238E27FC236}">
              <a16:creationId xmlns:a16="http://schemas.microsoft.com/office/drawing/2014/main" id="{18369EB3-179A-421F-AC49-23A537D6A0C9}"/>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574800" y="836795"/>
          <a:ext cx="5634335" cy="412176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3318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9</cp:revision>
  <dcterms:created xsi:type="dcterms:W3CDTF">2019-07-22T21:07:00Z</dcterms:created>
  <dcterms:modified xsi:type="dcterms:W3CDTF">2019-07-23T16:18:00Z</dcterms:modified>
</cp:coreProperties>
</file>