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670A9" w14:textId="2BE850E7" w:rsidR="000D2B03" w:rsidRDefault="00940B1C">
      <w:r>
        <w:t xml:space="preserve">                   </w:t>
      </w:r>
      <w:r w:rsidRPr="00C47E71">
        <w:rPr>
          <w:b/>
          <w:bCs/>
          <w:noProof/>
          <w:sz w:val="40"/>
          <w:szCs w:val="40"/>
          <w:highlight w:val="yellow"/>
        </w:rPr>
        <w:drawing>
          <wp:inline distT="0" distB="0" distL="0" distR="0" wp14:anchorId="681CF901" wp14:editId="4633FAD9">
            <wp:extent cx="4351020" cy="2453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1020" cy="2453640"/>
                    </a:xfrm>
                    <a:prstGeom prst="rect">
                      <a:avLst/>
                    </a:prstGeom>
                    <a:noFill/>
                    <a:ln>
                      <a:noFill/>
                    </a:ln>
                  </pic:spPr>
                </pic:pic>
              </a:graphicData>
            </a:graphic>
          </wp:inline>
        </w:drawing>
      </w:r>
    </w:p>
    <w:p w14:paraId="0A74691D" w14:textId="2EF1440B" w:rsidR="00940B1C" w:rsidRDefault="00940B1C"/>
    <w:p w14:paraId="7B173D23" w14:textId="4C9EEBEA" w:rsidR="00940B1C" w:rsidRPr="00236D37" w:rsidRDefault="00940B1C" w:rsidP="00940B1C">
      <w:pPr>
        <w:autoSpaceDE w:val="0"/>
        <w:autoSpaceDN w:val="0"/>
        <w:adjustRightInd w:val="0"/>
        <w:jc w:val="center"/>
        <w:rPr>
          <w:b/>
          <w:bCs/>
          <w:sz w:val="40"/>
          <w:szCs w:val="40"/>
        </w:rPr>
      </w:pPr>
      <w:r w:rsidRPr="00236D37">
        <w:rPr>
          <w:b/>
          <w:bCs/>
          <w:sz w:val="40"/>
          <w:szCs w:val="40"/>
        </w:rPr>
        <w:t>Management Plan</w:t>
      </w:r>
    </w:p>
    <w:p w14:paraId="45916D2A" w14:textId="07CD4175" w:rsidR="00940B1C" w:rsidRDefault="00940B1C" w:rsidP="00940B1C">
      <w:pPr>
        <w:autoSpaceDE w:val="0"/>
        <w:autoSpaceDN w:val="0"/>
        <w:adjustRightInd w:val="0"/>
        <w:jc w:val="center"/>
        <w:rPr>
          <w:b/>
          <w:bCs/>
          <w:sz w:val="40"/>
          <w:szCs w:val="40"/>
        </w:rPr>
      </w:pPr>
      <w:r w:rsidRPr="00236D37">
        <w:rPr>
          <w:rFonts w:hint="eastAsia"/>
          <w:b/>
          <w:bCs/>
          <w:sz w:val="40"/>
          <w:szCs w:val="40"/>
        </w:rPr>
        <w:t>f</w:t>
      </w:r>
      <w:r w:rsidRPr="00236D37">
        <w:rPr>
          <w:b/>
          <w:bCs/>
          <w:sz w:val="40"/>
          <w:szCs w:val="40"/>
        </w:rPr>
        <w:t>or</w:t>
      </w:r>
    </w:p>
    <w:p w14:paraId="7715AB10" w14:textId="77777777" w:rsidR="00940B1C" w:rsidRDefault="00940B1C" w:rsidP="00940B1C">
      <w:pPr>
        <w:autoSpaceDE w:val="0"/>
        <w:autoSpaceDN w:val="0"/>
        <w:adjustRightInd w:val="0"/>
        <w:jc w:val="center"/>
        <w:rPr>
          <w:b/>
          <w:bCs/>
          <w:sz w:val="40"/>
          <w:szCs w:val="40"/>
        </w:rPr>
      </w:pPr>
    </w:p>
    <w:p w14:paraId="1550779B" w14:textId="77777777" w:rsidR="00940B1C" w:rsidRDefault="00940B1C" w:rsidP="00940B1C">
      <w:pPr>
        <w:autoSpaceDE w:val="0"/>
        <w:autoSpaceDN w:val="0"/>
        <w:adjustRightInd w:val="0"/>
        <w:jc w:val="center"/>
        <w:rPr>
          <w:b/>
          <w:bCs/>
          <w:sz w:val="40"/>
          <w:szCs w:val="40"/>
        </w:rPr>
      </w:pPr>
      <w:r w:rsidRPr="00E57738">
        <w:rPr>
          <w:rFonts w:eastAsia="Arial"/>
          <w:b/>
          <w:sz w:val="40"/>
          <w:szCs w:val="40"/>
        </w:rPr>
        <w:t xml:space="preserve">A Monolithic-Active-Pixel-Sensor-based Vertex Detector (MVTX) </w:t>
      </w:r>
      <w:r>
        <w:rPr>
          <w:rFonts w:eastAsia="Arial"/>
          <w:b/>
          <w:sz w:val="40"/>
          <w:szCs w:val="40"/>
        </w:rPr>
        <w:t>Upgrade for the sPHENIX Experiment</w:t>
      </w:r>
    </w:p>
    <w:p w14:paraId="4B093346" w14:textId="77777777" w:rsidR="00940B1C" w:rsidRPr="00E455FB" w:rsidRDefault="00940B1C" w:rsidP="00940B1C">
      <w:pPr>
        <w:autoSpaceDE w:val="0"/>
        <w:autoSpaceDN w:val="0"/>
        <w:adjustRightInd w:val="0"/>
        <w:jc w:val="center"/>
        <w:rPr>
          <w:b/>
          <w:bCs/>
          <w:sz w:val="40"/>
          <w:szCs w:val="40"/>
        </w:rPr>
      </w:pPr>
      <w:r w:rsidRPr="00E455FB">
        <w:rPr>
          <w:b/>
          <w:bCs/>
          <w:sz w:val="40"/>
          <w:szCs w:val="40"/>
        </w:rPr>
        <w:t>at</w:t>
      </w:r>
      <w:r>
        <w:rPr>
          <w:b/>
          <w:bCs/>
          <w:sz w:val="40"/>
          <w:szCs w:val="40"/>
        </w:rPr>
        <w:t xml:space="preserve"> the</w:t>
      </w:r>
    </w:p>
    <w:p w14:paraId="78CC30E9" w14:textId="76656973" w:rsidR="00940B1C" w:rsidRDefault="00940B1C" w:rsidP="00940B1C">
      <w:pPr>
        <w:jc w:val="center"/>
        <w:rPr>
          <w:b/>
          <w:bCs/>
          <w:sz w:val="40"/>
          <w:szCs w:val="40"/>
        </w:rPr>
      </w:pPr>
      <w:r w:rsidRPr="00E455FB">
        <w:rPr>
          <w:b/>
          <w:bCs/>
          <w:sz w:val="40"/>
          <w:szCs w:val="40"/>
        </w:rPr>
        <w:t>Brookhaven National Laboratory</w:t>
      </w:r>
    </w:p>
    <w:p w14:paraId="2B8B5D03" w14:textId="1C7BF5DD" w:rsidR="00940B1C" w:rsidRDefault="00940B1C" w:rsidP="00940B1C">
      <w:pPr>
        <w:jc w:val="center"/>
        <w:rPr>
          <w:b/>
          <w:bCs/>
          <w:sz w:val="40"/>
          <w:szCs w:val="40"/>
        </w:rPr>
      </w:pPr>
    </w:p>
    <w:p w14:paraId="5A93D47C" w14:textId="744B7189" w:rsidR="00940B1C" w:rsidRDefault="00940B1C" w:rsidP="00940B1C">
      <w:pPr>
        <w:jc w:val="center"/>
        <w:rPr>
          <w:b/>
          <w:bCs/>
          <w:sz w:val="40"/>
          <w:szCs w:val="40"/>
        </w:rPr>
      </w:pPr>
    </w:p>
    <w:p w14:paraId="0D4F8278" w14:textId="559EC21A" w:rsidR="00940B1C" w:rsidRDefault="00940B1C" w:rsidP="00940B1C"/>
    <w:p w14:paraId="46893517" w14:textId="77777777" w:rsidR="00940B1C" w:rsidRDefault="00940B1C">
      <w:r>
        <w:br w:type="page"/>
      </w:r>
    </w:p>
    <w:p w14:paraId="673506BA" w14:textId="6B893D39" w:rsidR="00940B1C" w:rsidRPr="003805A9" w:rsidRDefault="00940B1C" w:rsidP="00940B1C">
      <w:pPr>
        <w:pStyle w:val="Heading1"/>
        <w:rPr>
          <w:rFonts w:cs="Arial"/>
        </w:rPr>
      </w:pPr>
      <w:bookmarkStart w:id="0" w:name="_Toc363737431"/>
      <w:bookmarkStart w:id="1" w:name="_Hlk8046478"/>
      <w:r w:rsidRPr="003805A9">
        <w:rPr>
          <w:rFonts w:cs="Arial"/>
          <w:b/>
          <w:bCs/>
        </w:rPr>
        <w:lastRenderedPageBreak/>
        <w:t xml:space="preserve">1 INTRODUCTION </w:t>
      </w:r>
      <w:bookmarkEnd w:id="0"/>
    </w:p>
    <w:p w14:paraId="784FF9D7" w14:textId="77777777" w:rsidR="00940B1C" w:rsidRPr="003805A9" w:rsidRDefault="00940B1C" w:rsidP="00940B1C">
      <w:pPr>
        <w:autoSpaceDE w:val="0"/>
        <w:autoSpaceDN w:val="0"/>
        <w:adjustRightInd w:val="0"/>
        <w:rPr>
          <w:rFonts w:ascii="Arial" w:hAnsi="Arial" w:cs="Arial"/>
          <w:sz w:val="24"/>
          <w:szCs w:val="24"/>
        </w:rPr>
      </w:pPr>
    </w:p>
    <w:p w14:paraId="766A846A" w14:textId="3F0880DA" w:rsidR="00940B1C" w:rsidRPr="003805A9" w:rsidRDefault="00940B1C" w:rsidP="00134CC4">
      <w:pPr>
        <w:ind w:firstLine="339"/>
        <w:jc w:val="both"/>
        <w:rPr>
          <w:rFonts w:ascii="Arial" w:hAnsi="Arial" w:cs="Arial"/>
          <w:sz w:val="24"/>
          <w:szCs w:val="24"/>
        </w:rPr>
      </w:pPr>
      <w:r w:rsidRPr="003805A9">
        <w:rPr>
          <w:rFonts w:ascii="Arial" w:eastAsia="Arial" w:hAnsi="Arial" w:cs="Arial"/>
          <w:sz w:val="24"/>
          <w:szCs w:val="24"/>
        </w:rPr>
        <w:t>sPHENIX is a next-generation nuclear physics experiment providing world-class capabilities for multi-scale studies of the strongly coupled quark gluon plasma (QGP), planned for the Relativistic Heavy Ion Collider (RHIC) at Brookhaven National Laboratory in 2022 and beyond. The need for these capabilities to advance our understanding of the origins of novel QGP properties is detailed in the 2015 NSAC Long Range Plan.</w:t>
      </w:r>
    </w:p>
    <w:p w14:paraId="6F66DA87" w14:textId="75378851" w:rsidR="00940B1C" w:rsidRPr="003805A9" w:rsidRDefault="00940B1C" w:rsidP="00940B1C">
      <w:pPr>
        <w:ind w:firstLine="339"/>
        <w:jc w:val="both"/>
        <w:rPr>
          <w:rFonts w:ascii="Arial" w:hAnsi="Arial" w:cs="Arial"/>
          <w:sz w:val="24"/>
          <w:szCs w:val="24"/>
        </w:rPr>
      </w:pPr>
      <w:r w:rsidRPr="003805A9">
        <w:rPr>
          <w:rFonts w:ascii="Arial" w:eastAsia="Arial" w:hAnsi="Arial" w:cs="Arial"/>
          <w:sz w:val="24"/>
          <w:szCs w:val="24"/>
        </w:rPr>
        <w:t>Precise measurements of heavy flavor-tagged jets and B-hadron nuclear modification and flow in heavy ion collisions are key scale-dependent observables. Measuring these rare observables demands high precision tracking with excellent displaced secondary vertex capabilities. While the baseline sPHENIX detector anticipates a small aperture detector for secondary vertexing, exploiting the full potential of heavy flavor QGP signatures, and optimizing the use of RHIC luminosity and available running time, is only possible with a large acceptance precision vertex detector. We propose to build a thin, extremely precise silicon pixel vertex detector for the sPHENIX experiment to enable these key measurements. The detector will be based closely on the latest generation of Monolithic-Active-Pixel-Sensor (MAPS) technology, developed for the ALICE collaboration at CERN, and leveraging the extensive R&amp;D investments made in this technology over a period of several years. Last summer, the Los Alamos National Laboratory High-Energy Nuclear Physics Group was awarded an internal LDRD grant ($5M over 3 years, FY17-19) to develop a state</w:t>
      </w:r>
      <w:r w:rsidR="001E3FD7">
        <w:rPr>
          <w:rFonts w:ascii="Arial" w:eastAsia="Arial" w:hAnsi="Arial" w:cs="Arial"/>
          <w:sz w:val="24"/>
          <w:szCs w:val="24"/>
        </w:rPr>
        <w:t>-</w:t>
      </w:r>
      <w:r w:rsidRPr="003805A9">
        <w:rPr>
          <w:rFonts w:ascii="Arial" w:eastAsia="Arial" w:hAnsi="Arial" w:cs="Arial"/>
          <w:sz w:val="24"/>
          <w:szCs w:val="24"/>
        </w:rPr>
        <w:t>of</w:t>
      </w:r>
      <w:r w:rsidR="001E3FD7">
        <w:rPr>
          <w:rFonts w:ascii="Arial" w:eastAsia="Arial" w:hAnsi="Arial" w:cs="Arial"/>
          <w:sz w:val="24"/>
          <w:szCs w:val="24"/>
        </w:rPr>
        <w:t>-</w:t>
      </w:r>
      <w:r w:rsidRPr="003805A9">
        <w:rPr>
          <w:rFonts w:ascii="Arial" w:eastAsia="Arial" w:hAnsi="Arial" w:cs="Arial"/>
          <w:sz w:val="24"/>
          <w:szCs w:val="24"/>
        </w:rPr>
        <w:t>the</w:t>
      </w:r>
      <w:r w:rsidR="001E3FD7">
        <w:rPr>
          <w:rFonts w:ascii="Arial" w:eastAsia="Arial" w:hAnsi="Arial" w:cs="Arial"/>
          <w:sz w:val="24"/>
          <w:szCs w:val="24"/>
        </w:rPr>
        <w:t>-</w:t>
      </w:r>
      <w:r w:rsidRPr="003805A9">
        <w:rPr>
          <w:rFonts w:ascii="Arial" w:eastAsia="Arial" w:hAnsi="Arial" w:cs="Arial"/>
          <w:sz w:val="24"/>
          <w:szCs w:val="24"/>
        </w:rPr>
        <w:t>art MAPS-based telescope to demonstrate the tracking capability of such a device for the sPHENIX experiment. The LANL LDRD will allow us to carry out the much needed early R&amp;D for the MAPS readout electronics and produce the initial conceptual design of mechanical system integration into the sPHENIX detectors, and also develop a state of the art theoretical calculation, modeling and full physics simulations and analyses with a realistic detector configuration.</w:t>
      </w:r>
    </w:p>
    <w:p w14:paraId="284F1169" w14:textId="77777777" w:rsidR="002275A9" w:rsidRDefault="002275A9" w:rsidP="00DD63A2">
      <w:pPr>
        <w:pStyle w:val="Heading1"/>
        <w:rPr>
          <w:rFonts w:cs="Arial"/>
          <w:b/>
        </w:rPr>
      </w:pPr>
    </w:p>
    <w:p w14:paraId="57DA6F58" w14:textId="091C9364" w:rsidR="00940B1C" w:rsidRPr="003805A9" w:rsidRDefault="00940B1C" w:rsidP="00DD63A2">
      <w:pPr>
        <w:pStyle w:val="Heading1"/>
        <w:rPr>
          <w:rFonts w:cs="Arial"/>
          <w:b/>
        </w:rPr>
      </w:pPr>
      <w:r w:rsidRPr="003805A9">
        <w:rPr>
          <w:rFonts w:cs="Arial"/>
          <w:b/>
        </w:rPr>
        <w:t>2</w:t>
      </w:r>
      <w:r w:rsidRPr="003805A9">
        <w:rPr>
          <w:rFonts w:cs="Arial"/>
          <w:b/>
        </w:rPr>
        <w:tab/>
        <w:t>Project Baseline</w:t>
      </w:r>
    </w:p>
    <w:p w14:paraId="75564185" w14:textId="77777777" w:rsidR="002275A9" w:rsidRDefault="002275A9" w:rsidP="00DD63A2">
      <w:pPr>
        <w:rPr>
          <w:rFonts w:ascii="Arial" w:hAnsi="Arial" w:cs="Arial"/>
          <w:b/>
          <w:sz w:val="24"/>
          <w:szCs w:val="24"/>
        </w:rPr>
      </w:pPr>
    </w:p>
    <w:p w14:paraId="078FB427" w14:textId="09A0B541" w:rsidR="00940B1C" w:rsidRPr="003805A9" w:rsidRDefault="00940B1C" w:rsidP="00DD63A2">
      <w:pPr>
        <w:rPr>
          <w:rFonts w:ascii="Arial" w:hAnsi="Arial" w:cs="Arial"/>
          <w:b/>
          <w:sz w:val="24"/>
          <w:szCs w:val="24"/>
        </w:rPr>
      </w:pPr>
      <w:r w:rsidRPr="003805A9">
        <w:rPr>
          <w:rFonts w:ascii="Arial" w:hAnsi="Arial" w:cs="Arial"/>
          <w:b/>
          <w:sz w:val="24"/>
          <w:szCs w:val="24"/>
        </w:rPr>
        <w:t>2.1</w:t>
      </w:r>
      <w:r w:rsidRPr="003805A9">
        <w:rPr>
          <w:rFonts w:ascii="Arial" w:hAnsi="Arial" w:cs="Arial"/>
          <w:b/>
          <w:sz w:val="24"/>
          <w:szCs w:val="24"/>
        </w:rPr>
        <w:tab/>
        <w:t>Physics</w:t>
      </w:r>
    </w:p>
    <w:p w14:paraId="71EE5802" w14:textId="7E9AB18E" w:rsidR="00940B1C" w:rsidRPr="003805A9" w:rsidRDefault="00940B1C" w:rsidP="00940B1C">
      <w:pPr>
        <w:ind w:firstLine="339"/>
        <w:jc w:val="both"/>
        <w:rPr>
          <w:rFonts w:ascii="Arial" w:hAnsi="Arial" w:cs="Arial"/>
          <w:sz w:val="24"/>
          <w:szCs w:val="24"/>
        </w:rPr>
      </w:pPr>
      <w:r w:rsidRPr="003805A9">
        <w:rPr>
          <w:rFonts w:ascii="Arial" w:eastAsia="Arial" w:hAnsi="Arial" w:cs="Arial"/>
          <w:sz w:val="24"/>
          <w:szCs w:val="24"/>
        </w:rPr>
        <w:t>The MAPS-based Vertex Detector (MVTX) is proposed to be ready for Day-1 sPHENIX data taking. To meet this challenge, we propose to use the same ALICE ITS upgrade facilities at CERN to continue producing MAPS staves for the sPHENIX MVTX project, starting from mi</w:t>
      </w:r>
      <w:r w:rsidR="006E142A">
        <w:rPr>
          <w:rFonts w:ascii="Arial" w:eastAsia="Arial" w:hAnsi="Arial" w:cs="Arial"/>
          <w:sz w:val="24"/>
          <w:szCs w:val="24"/>
        </w:rPr>
        <w:t xml:space="preserve">d </w:t>
      </w:r>
      <w:r w:rsidRPr="003805A9">
        <w:rPr>
          <w:rFonts w:ascii="Arial" w:eastAsia="Arial" w:hAnsi="Arial" w:cs="Arial"/>
          <w:sz w:val="24"/>
          <w:szCs w:val="24"/>
        </w:rPr>
        <w:t>2018 following the completion of ALICE production. This detector will provide world-class scientific results in key areas encompassed by the DOE Nuclear Physics mission. It will allow U.S. scientists to make fundamental inquiries into the nature of the QGP that cannot be probed with other existing facilities worldwide. In particular, the sPHENIX experiment, which was granted with DOE CD-0 in September 2016, will complement and extend the ongoing and future QGP studies at RHIC and LHC, and will become the next generation U.S. flagship high energy nuclear physics program at the DOE’s key facility in this field.</w:t>
      </w:r>
    </w:p>
    <w:p w14:paraId="5FB34B25" w14:textId="77777777" w:rsidR="00940B1C" w:rsidRPr="003805A9" w:rsidRDefault="00940B1C" w:rsidP="00940B1C">
      <w:pPr>
        <w:ind w:firstLine="339"/>
        <w:jc w:val="both"/>
        <w:rPr>
          <w:rFonts w:ascii="Arial" w:hAnsi="Arial" w:cs="Arial"/>
          <w:sz w:val="24"/>
          <w:szCs w:val="24"/>
        </w:rPr>
      </w:pPr>
      <w:r w:rsidRPr="003805A9">
        <w:rPr>
          <w:rFonts w:ascii="Arial" w:eastAsia="Arial" w:hAnsi="Arial" w:cs="Arial"/>
          <w:sz w:val="24"/>
          <w:szCs w:val="24"/>
        </w:rPr>
        <w:lastRenderedPageBreak/>
        <w:t>The physics goals of the proposed vertex detector project are aligned with the key challenges and physics opportunities outlined in the 2015 NSAC Long-Range Plan: “There are two central goals of measurements planned at RHIC, as it completes its scientific mission, and at the LHC: (1) Probe the inner workings of QGP by resolving its properties at shorter and shorter length scales. The complementarity of the two facilities is essential to this goal, as is a state-of-the-art jet detector at RHIC, called sPHENIX. (2) Map the phase diagram of QCD with experiments planned at RHIC.”</w:t>
      </w:r>
    </w:p>
    <w:p w14:paraId="7C56C58C" w14:textId="77777777" w:rsidR="00940B1C" w:rsidRPr="003805A9" w:rsidRDefault="00940B1C" w:rsidP="00940B1C">
      <w:pPr>
        <w:rPr>
          <w:rFonts w:ascii="Arial" w:hAnsi="Arial" w:cs="Arial"/>
          <w:sz w:val="24"/>
          <w:szCs w:val="24"/>
        </w:rPr>
      </w:pPr>
    </w:p>
    <w:p w14:paraId="28FC5903" w14:textId="58A067DE" w:rsidR="00940B1C" w:rsidRPr="003805A9" w:rsidRDefault="00940B1C" w:rsidP="00322C51">
      <w:pPr>
        <w:ind w:firstLine="346"/>
        <w:jc w:val="both"/>
        <w:rPr>
          <w:rFonts w:ascii="Arial" w:hAnsi="Arial" w:cs="Arial"/>
          <w:sz w:val="24"/>
          <w:szCs w:val="24"/>
        </w:rPr>
      </w:pPr>
      <w:r w:rsidRPr="003805A9">
        <w:rPr>
          <w:rFonts w:ascii="Arial" w:eastAsia="Arial" w:hAnsi="Arial" w:cs="Arial"/>
          <w:sz w:val="24"/>
          <w:szCs w:val="24"/>
        </w:rPr>
        <w:t xml:space="preserve">The key approach for goal (1) is microscopy of the QGP through probes that are sensitive to characteristic scales in the plasma. The baseline sPHENIX design is optimized to employ light quark and gluon jets over a wide kinematic range and Upsilons as such scale-sensitive probes. The vertex detector described in this proposal will greatly expand the sPHENIX capabilities in an additional dimension related to scales in the QGP, by allowing a range of precision studies as a function of </w:t>
      </w:r>
      <w:proofErr w:type="spellStart"/>
      <w:r w:rsidRPr="003805A9">
        <w:rPr>
          <w:rFonts w:ascii="Arial" w:eastAsia="Arial" w:hAnsi="Arial" w:cs="Arial"/>
          <w:sz w:val="24"/>
          <w:szCs w:val="24"/>
        </w:rPr>
        <w:t>parton</w:t>
      </w:r>
      <w:proofErr w:type="spellEnd"/>
      <w:r w:rsidRPr="003805A9">
        <w:rPr>
          <w:rFonts w:ascii="Arial" w:eastAsia="Arial" w:hAnsi="Arial" w:cs="Arial"/>
          <w:sz w:val="24"/>
          <w:szCs w:val="24"/>
        </w:rPr>
        <w:t xml:space="preserve"> mass. Studies of heavy-flavor hadrons have been a focus of recent upgrades in sPHENIX and STAR at RHIC. These studies, as well as new measurements by the current LHC experiments form the key motivation for the ALICE Phase-I upgrades for the early 2020’s. In combination with the large acceptance and high rate capability of sPHENIX, the vertex detector upgrade provides access to observables that are not accessible with the present RHIC detectors and are complementary to those at LHC.</w:t>
      </w:r>
    </w:p>
    <w:p w14:paraId="47ABC118" w14:textId="25B3D35F" w:rsidR="00940B1C" w:rsidRPr="003805A9" w:rsidRDefault="00940B1C" w:rsidP="00322C51">
      <w:pPr>
        <w:ind w:firstLine="339"/>
        <w:jc w:val="both"/>
        <w:rPr>
          <w:rFonts w:ascii="Arial" w:hAnsi="Arial" w:cs="Arial"/>
          <w:sz w:val="24"/>
          <w:szCs w:val="24"/>
        </w:rPr>
      </w:pPr>
      <w:r w:rsidRPr="003805A9">
        <w:rPr>
          <w:rFonts w:ascii="Arial" w:eastAsia="Arial" w:hAnsi="Arial" w:cs="Arial"/>
          <w:sz w:val="24"/>
          <w:szCs w:val="24"/>
        </w:rPr>
        <w:t>Heavy flavor quarks (c, b) play a unique role for studying the QCD in vacuum as well as at finite temperature or density. Their masses are much larger than the QCD scale (L</w:t>
      </w:r>
      <w:r w:rsidRPr="003805A9">
        <w:rPr>
          <w:rFonts w:ascii="Arial" w:eastAsia="Arial" w:hAnsi="Arial" w:cs="Arial"/>
          <w:sz w:val="24"/>
          <w:szCs w:val="24"/>
          <w:vertAlign w:val="subscript"/>
        </w:rPr>
        <w:t>QCD</w:t>
      </w:r>
      <w:r w:rsidRPr="003805A9">
        <w:rPr>
          <w:rFonts w:ascii="Arial" w:eastAsia="Arial" w:hAnsi="Arial" w:cs="Arial"/>
          <w:sz w:val="24"/>
          <w:szCs w:val="24"/>
        </w:rPr>
        <w:t>), the additional QCD masses due to chiral symmetry breaking, as well as the typical medium temperature created at RHIC and LHC. Therefore</w:t>
      </w:r>
      <w:r w:rsidR="001E3FD7">
        <w:rPr>
          <w:rFonts w:ascii="Arial" w:eastAsia="Arial" w:hAnsi="Arial" w:cs="Arial"/>
          <w:sz w:val="24"/>
          <w:szCs w:val="24"/>
        </w:rPr>
        <w:t xml:space="preserve">, </w:t>
      </w:r>
      <w:r w:rsidRPr="003805A9">
        <w:rPr>
          <w:rFonts w:ascii="Arial" w:eastAsia="Arial" w:hAnsi="Arial" w:cs="Arial"/>
          <w:sz w:val="24"/>
          <w:szCs w:val="24"/>
        </w:rPr>
        <w:t>they are created predominantly from initial hard scatterings and their production rates are calculable in perturbative QCD. They are thus calibrated probes that can be used to study the QGP in a controlled manner.</w:t>
      </w:r>
    </w:p>
    <w:p w14:paraId="231B969A" w14:textId="69BAA877" w:rsidR="00940B1C" w:rsidRPr="003805A9" w:rsidRDefault="00940B1C" w:rsidP="00322C51">
      <w:pPr>
        <w:ind w:firstLine="339"/>
        <w:jc w:val="both"/>
        <w:rPr>
          <w:rFonts w:ascii="Arial" w:hAnsi="Arial" w:cs="Arial"/>
          <w:sz w:val="24"/>
          <w:szCs w:val="24"/>
        </w:rPr>
      </w:pPr>
      <w:r w:rsidRPr="003805A9">
        <w:rPr>
          <w:rFonts w:ascii="Arial" w:eastAsia="Arial" w:hAnsi="Arial" w:cs="Arial"/>
          <w:sz w:val="24"/>
          <w:szCs w:val="24"/>
        </w:rPr>
        <w:t>The vertex detector will enable a wide range of heavy-flavor studies, extending present RHIC measurements to significantly larger transverse momenta, and provide access to qualitatively new QGP signatures. A new capability, in combination with the sPHENIX calorimetric jet reconstruction, is the identification of jets originating from heavy quarks. In this proposal, we will use the measurements of b-tagged jets as a case study to illustrate the new capabilities the upgrade brings to RHIC and the overall field. This measurement represents both a new opportunity at RHIC and an example of complementarity to the LHC: the projected sPHENIX measurement both extends the LHC measurement to lower transverse momenta and provides a kinematic overlap, where the same jets can be studied in the different QGP conditions at RHIC and LHC.</w:t>
      </w:r>
    </w:p>
    <w:p w14:paraId="65A7C27C" w14:textId="77777777" w:rsidR="002275A9" w:rsidRDefault="002275A9" w:rsidP="00DD63A2">
      <w:pPr>
        <w:rPr>
          <w:rFonts w:ascii="Arial" w:hAnsi="Arial" w:cs="Arial"/>
          <w:b/>
          <w:sz w:val="24"/>
          <w:szCs w:val="24"/>
        </w:rPr>
      </w:pPr>
      <w:bookmarkStart w:id="2" w:name="_Toc363737432"/>
      <w:bookmarkEnd w:id="1"/>
    </w:p>
    <w:p w14:paraId="3FDCCEF2" w14:textId="7C5BB7D1" w:rsidR="0059406E" w:rsidRPr="003805A9" w:rsidRDefault="0059406E" w:rsidP="00DD63A2">
      <w:pPr>
        <w:rPr>
          <w:rFonts w:ascii="Arial" w:hAnsi="Arial" w:cs="Arial"/>
          <w:b/>
          <w:bCs/>
          <w:sz w:val="24"/>
          <w:szCs w:val="24"/>
        </w:rPr>
      </w:pPr>
      <w:r w:rsidRPr="003805A9">
        <w:rPr>
          <w:rFonts w:ascii="Arial" w:hAnsi="Arial" w:cs="Arial"/>
          <w:b/>
          <w:sz w:val="24"/>
          <w:szCs w:val="24"/>
        </w:rPr>
        <w:t>2</w:t>
      </w:r>
      <w:r w:rsidR="00DD63A2" w:rsidRPr="003805A9">
        <w:rPr>
          <w:rFonts w:ascii="Arial" w:hAnsi="Arial" w:cs="Arial"/>
          <w:b/>
          <w:sz w:val="24"/>
          <w:szCs w:val="24"/>
        </w:rPr>
        <w:t>.2</w:t>
      </w:r>
      <w:r w:rsidRPr="003805A9">
        <w:rPr>
          <w:rFonts w:ascii="Arial" w:hAnsi="Arial" w:cs="Arial"/>
          <w:b/>
          <w:sz w:val="24"/>
          <w:szCs w:val="24"/>
        </w:rPr>
        <w:t xml:space="preserve"> FUNCTIONAL REQUIREMENTS </w:t>
      </w:r>
      <w:bookmarkEnd w:id="2"/>
    </w:p>
    <w:p w14:paraId="2291CFF7" w14:textId="465DC396" w:rsidR="0059406E" w:rsidRPr="003805A9" w:rsidRDefault="0059406E" w:rsidP="00322C51">
      <w:pPr>
        <w:autoSpaceDE w:val="0"/>
        <w:autoSpaceDN w:val="0"/>
        <w:adjustRightInd w:val="0"/>
        <w:ind w:firstLine="720"/>
        <w:jc w:val="both"/>
        <w:rPr>
          <w:rFonts w:ascii="Arial" w:hAnsi="Arial" w:cs="Arial"/>
          <w:sz w:val="24"/>
          <w:szCs w:val="24"/>
        </w:rPr>
      </w:pPr>
      <w:r w:rsidRPr="003805A9">
        <w:rPr>
          <w:rFonts w:ascii="Arial" w:hAnsi="Arial" w:cs="Arial"/>
          <w:sz w:val="24"/>
          <w:szCs w:val="24"/>
        </w:rPr>
        <w:lastRenderedPageBreak/>
        <w:t xml:space="preserve">The principal functional requirement of the MVTX is to provide precise measurements of tracks back to the collision vertex with a transverse distance of closest approach (DCA) resolution on the order of 25 </w:t>
      </w:r>
      <w:proofErr w:type="spellStart"/>
      <w:r w:rsidRPr="003805A9">
        <w:rPr>
          <w:rFonts w:ascii="Arial" w:hAnsi="Arial" w:cs="Arial"/>
          <w:sz w:val="24"/>
          <w:szCs w:val="24"/>
        </w:rPr>
        <w:t>μm</w:t>
      </w:r>
      <w:proofErr w:type="spellEnd"/>
      <w:r w:rsidRPr="003805A9">
        <w:rPr>
          <w:rFonts w:ascii="Arial" w:hAnsi="Arial" w:cs="Arial"/>
          <w:sz w:val="24"/>
          <w:szCs w:val="24"/>
        </w:rPr>
        <w:t xml:space="preserve"> or better. The MVTX project will be complete when the parameters in Table 1 have been demonstrated and the deliverables in Table </w:t>
      </w:r>
      <w:r w:rsidR="00A22234">
        <w:rPr>
          <w:rFonts w:ascii="Arial" w:hAnsi="Arial" w:cs="Arial"/>
          <w:sz w:val="24"/>
          <w:szCs w:val="24"/>
        </w:rPr>
        <w:t>2</w:t>
      </w:r>
      <w:r w:rsidRPr="003805A9">
        <w:rPr>
          <w:rFonts w:ascii="Arial" w:hAnsi="Arial" w:cs="Arial"/>
          <w:sz w:val="24"/>
          <w:szCs w:val="24"/>
        </w:rPr>
        <w:t xml:space="preserve"> are satisfied.</w:t>
      </w:r>
    </w:p>
    <w:p w14:paraId="4EE404CE" w14:textId="77777777" w:rsidR="0059406E" w:rsidRPr="003805A9" w:rsidRDefault="0059406E" w:rsidP="0059406E">
      <w:pPr>
        <w:autoSpaceDE w:val="0"/>
        <w:autoSpaceDN w:val="0"/>
        <w:adjustRightInd w:val="0"/>
        <w:jc w:val="both"/>
        <w:rPr>
          <w:rFonts w:ascii="Arial" w:hAnsi="Arial" w:cs="Arial"/>
          <w:sz w:val="24"/>
          <w:szCs w:val="24"/>
        </w:rPr>
      </w:pPr>
      <w:r w:rsidRPr="003805A9">
        <w:rPr>
          <w:rFonts w:ascii="Arial" w:hAnsi="Arial" w:cs="Arial"/>
          <w:sz w:val="24"/>
          <w:szCs w:val="24"/>
        </w:rPr>
        <w:t xml:space="preserve"> </w:t>
      </w:r>
    </w:p>
    <w:p w14:paraId="1C993704" w14:textId="1E61CADB" w:rsidR="0059406E" w:rsidRPr="003805A9" w:rsidRDefault="001E3FD7" w:rsidP="0059406E">
      <w:pPr>
        <w:autoSpaceDE w:val="0"/>
        <w:autoSpaceDN w:val="0"/>
        <w:adjustRightInd w:val="0"/>
        <w:jc w:val="both"/>
        <w:rPr>
          <w:rFonts w:ascii="Arial" w:hAnsi="Arial" w:cs="Arial"/>
          <w:sz w:val="24"/>
          <w:szCs w:val="24"/>
        </w:rPr>
      </w:pPr>
      <w:r>
        <w:rPr>
          <w:rFonts w:ascii="Arial" w:hAnsi="Arial" w:cs="Arial"/>
          <w:sz w:val="24"/>
          <w:szCs w:val="24"/>
        </w:rPr>
        <w:t>G</w:t>
      </w:r>
      <w:r w:rsidR="0059406E" w:rsidRPr="003805A9">
        <w:rPr>
          <w:rFonts w:ascii="Arial" w:hAnsi="Arial" w:cs="Arial"/>
          <w:sz w:val="24"/>
          <w:szCs w:val="24"/>
        </w:rPr>
        <w:t>eneral requirements:</w:t>
      </w:r>
    </w:p>
    <w:p w14:paraId="3CE068AC" w14:textId="77777777" w:rsidR="0059406E" w:rsidRPr="003805A9" w:rsidRDefault="0059406E" w:rsidP="0059406E">
      <w:pPr>
        <w:numPr>
          <w:ilvl w:val="0"/>
          <w:numId w:val="1"/>
        </w:numPr>
        <w:autoSpaceDE w:val="0"/>
        <w:autoSpaceDN w:val="0"/>
        <w:adjustRightInd w:val="0"/>
        <w:spacing w:after="0" w:line="240" w:lineRule="auto"/>
        <w:jc w:val="both"/>
        <w:rPr>
          <w:rFonts w:ascii="Arial" w:hAnsi="Arial" w:cs="Arial"/>
          <w:sz w:val="24"/>
          <w:szCs w:val="24"/>
        </w:rPr>
      </w:pPr>
      <w:r w:rsidRPr="003805A9">
        <w:rPr>
          <w:rFonts w:ascii="Arial" w:hAnsi="Arial" w:cs="Arial"/>
          <w:sz w:val="24"/>
          <w:szCs w:val="24"/>
        </w:rPr>
        <w:t>The system must fit into the integration envelope agreed to within sPHENIX</w:t>
      </w:r>
    </w:p>
    <w:p w14:paraId="081C6E9F" w14:textId="77777777" w:rsidR="0059406E" w:rsidRPr="003805A9" w:rsidRDefault="0059406E" w:rsidP="0059406E">
      <w:pPr>
        <w:numPr>
          <w:ilvl w:val="0"/>
          <w:numId w:val="1"/>
        </w:numPr>
        <w:autoSpaceDE w:val="0"/>
        <w:autoSpaceDN w:val="0"/>
        <w:adjustRightInd w:val="0"/>
        <w:spacing w:after="0" w:line="240" w:lineRule="auto"/>
        <w:jc w:val="both"/>
        <w:rPr>
          <w:rFonts w:ascii="Arial" w:hAnsi="Arial" w:cs="Arial"/>
          <w:sz w:val="24"/>
          <w:szCs w:val="24"/>
        </w:rPr>
      </w:pPr>
      <w:r w:rsidRPr="003805A9">
        <w:rPr>
          <w:rFonts w:ascii="Arial" w:hAnsi="Arial" w:cs="Arial"/>
          <w:sz w:val="24"/>
          <w:szCs w:val="24"/>
        </w:rPr>
        <w:t>The system must be able to operate inside the sPHENIX magnet.</w:t>
      </w:r>
      <w:r w:rsidRPr="003805A9">
        <w:rPr>
          <w:rFonts w:ascii="Arial" w:hAnsi="Arial" w:cs="Arial"/>
          <w:sz w:val="24"/>
          <w:szCs w:val="24"/>
        </w:rPr>
        <w:t></w:t>
      </w:r>
    </w:p>
    <w:p w14:paraId="45CC7EF6" w14:textId="77777777" w:rsidR="0059406E" w:rsidRPr="003805A9" w:rsidRDefault="0059406E" w:rsidP="0059406E">
      <w:pPr>
        <w:numPr>
          <w:ilvl w:val="0"/>
          <w:numId w:val="1"/>
        </w:numPr>
        <w:autoSpaceDE w:val="0"/>
        <w:autoSpaceDN w:val="0"/>
        <w:adjustRightInd w:val="0"/>
        <w:spacing w:after="0" w:line="240" w:lineRule="auto"/>
        <w:jc w:val="both"/>
        <w:rPr>
          <w:rFonts w:ascii="Arial" w:hAnsi="Arial" w:cs="Arial"/>
          <w:sz w:val="24"/>
          <w:szCs w:val="24"/>
        </w:rPr>
      </w:pPr>
      <w:r w:rsidRPr="003805A9">
        <w:rPr>
          <w:rFonts w:ascii="Arial" w:hAnsi="Arial" w:cs="Arial"/>
          <w:sz w:val="24"/>
          <w:szCs w:val="24"/>
        </w:rPr>
        <w:t>The system must be safe. The system must meet BNL Collider-Accelerator Department (C-AD) safety requirements.</w:t>
      </w:r>
    </w:p>
    <w:p w14:paraId="512F7BDB" w14:textId="77777777" w:rsidR="0059406E" w:rsidRPr="003805A9" w:rsidRDefault="0059406E" w:rsidP="0059406E">
      <w:pPr>
        <w:numPr>
          <w:ilvl w:val="0"/>
          <w:numId w:val="1"/>
        </w:numPr>
        <w:autoSpaceDE w:val="0"/>
        <w:autoSpaceDN w:val="0"/>
        <w:adjustRightInd w:val="0"/>
        <w:spacing w:after="0" w:line="240" w:lineRule="auto"/>
        <w:jc w:val="both"/>
        <w:rPr>
          <w:rFonts w:ascii="Arial" w:hAnsi="Arial" w:cs="Arial"/>
          <w:sz w:val="24"/>
          <w:szCs w:val="24"/>
        </w:rPr>
      </w:pPr>
      <w:r w:rsidRPr="003805A9">
        <w:rPr>
          <w:rFonts w:ascii="Arial" w:hAnsi="Arial" w:cs="Arial"/>
          <w:sz w:val="24"/>
          <w:szCs w:val="24"/>
        </w:rPr>
        <w:t>The system must not interfere with the VT other detector subsystems.</w:t>
      </w:r>
    </w:p>
    <w:p w14:paraId="25AF6E41" w14:textId="77777777" w:rsidR="0059406E" w:rsidRPr="003805A9" w:rsidRDefault="0059406E" w:rsidP="0059406E">
      <w:pPr>
        <w:numPr>
          <w:ilvl w:val="0"/>
          <w:numId w:val="1"/>
        </w:numPr>
        <w:autoSpaceDE w:val="0"/>
        <w:autoSpaceDN w:val="0"/>
        <w:adjustRightInd w:val="0"/>
        <w:spacing w:after="0" w:line="240" w:lineRule="auto"/>
        <w:jc w:val="both"/>
        <w:rPr>
          <w:rFonts w:ascii="Arial" w:hAnsi="Arial" w:cs="Arial"/>
          <w:sz w:val="24"/>
          <w:szCs w:val="24"/>
        </w:rPr>
      </w:pPr>
      <w:r w:rsidRPr="003805A9">
        <w:rPr>
          <w:rFonts w:ascii="Arial" w:hAnsi="Arial" w:cs="Arial"/>
          <w:sz w:val="24"/>
          <w:szCs w:val="24"/>
        </w:rPr>
        <w:t>Each stave must have a radiation length of less than 0.5 %.</w:t>
      </w:r>
    </w:p>
    <w:p w14:paraId="56258A74" w14:textId="77777777" w:rsidR="0059406E" w:rsidRPr="003805A9" w:rsidRDefault="0059406E" w:rsidP="0059406E">
      <w:pPr>
        <w:numPr>
          <w:ilvl w:val="0"/>
          <w:numId w:val="1"/>
        </w:numPr>
        <w:autoSpaceDE w:val="0"/>
        <w:autoSpaceDN w:val="0"/>
        <w:adjustRightInd w:val="0"/>
        <w:spacing w:after="0" w:line="240" w:lineRule="auto"/>
        <w:jc w:val="both"/>
        <w:rPr>
          <w:rFonts w:ascii="Arial" w:hAnsi="Arial" w:cs="Arial"/>
          <w:sz w:val="24"/>
          <w:szCs w:val="24"/>
        </w:rPr>
      </w:pPr>
      <w:r w:rsidRPr="003805A9">
        <w:rPr>
          <w:rFonts w:ascii="Arial" w:hAnsi="Arial" w:cs="Arial"/>
          <w:sz w:val="24"/>
          <w:szCs w:val="24"/>
        </w:rPr>
        <w:t>The system must operate in a temperature range of 0</w:t>
      </w:r>
      <w:r w:rsidRPr="003805A9">
        <w:rPr>
          <w:rFonts w:ascii="Arial" w:hAnsi="Arial" w:cs="Arial"/>
          <w:sz w:val="24"/>
          <w:szCs w:val="24"/>
          <w:vertAlign w:val="superscript"/>
        </w:rPr>
        <w:t>o</w:t>
      </w:r>
      <w:r w:rsidRPr="003805A9">
        <w:rPr>
          <w:rFonts w:ascii="Arial" w:hAnsi="Arial" w:cs="Arial"/>
          <w:sz w:val="24"/>
          <w:szCs w:val="24"/>
        </w:rPr>
        <w:t xml:space="preserve"> C to 30</w:t>
      </w:r>
      <w:r w:rsidRPr="003805A9">
        <w:rPr>
          <w:rFonts w:ascii="Arial" w:hAnsi="Arial" w:cs="Arial"/>
          <w:sz w:val="24"/>
          <w:szCs w:val="24"/>
          <w:vertAlign w:val="superscript"/>
        </w:rPr>
        <w:t>o</w:t>
      </w:r>
      <w:r w:rsidRPr="003805A9">
        <w:rPr>
          <w:rFonts w:ascii="Arial" w:hAnsi="Arial" w:cs="Arial"/>
          <w:sz w:val="24"/>
          <w:szCs w:val="24"/>
        </w:rPr>
        <w:t xml:space="preserve"> C.</w:t>
      </w:r>
    </w:p>
    <w:p w14:paraId="793D71FB" w14:textId="77777777" w:rsidR="0059406E" w:rsidRPr="003805A9" w:rsidRDefault="0059406E" w:rsidP="0059406E">
      <w:pPr>
        <w:numPr>
          <w:ilvl w:val="0"/>
          <w:numId w:val="1"/>
        </w:numPr>
        <w:autoSpaceDE w:val="0"/>
        <w:autoSpaceDN w:val="0"/>
        <w:adjustRightInd w:val="0"/>
        <w:spacing w:after="0" w:line="240" w:lineRule="auto"/>
        <w:jc w:val="both"/>
        <w:rPr>
          <w:rFonts w:ascii="Arial" w:hAnsi="Arial" w:cs="Arial"/>
          <w:sz w:val="24"/>
          <w:szCs w:val="24"/>
        </w:rPr>
      </w:pPr>
      <w:r w:rsidRPr="003805A9">
        <w:rPr>
          <w:rFonts w:ascii="Arial" w:hAnsi="Arial" w:cs="Arial"/>
          <w:sz w:val="24"/>
          <w:szCs w:val="24"/>
        </w:rPr>
        <w:t xml:space="preserve">The noise hit rate for each MVTX shall be less than 0.01% for a threshold </w:t>
      </w:r>
      <w:proofErr w:type="gramStart"/>
      <w:r w:rsidRPr="003805A9">
        <w:rPr>
          <w:rFonts w:ascii="Arial" w:hAnsi="Arial" w:cs="Arial"/>
          <w:sz w:val="24"/>
          <w:szCs w:val="24"/>
        </w:rPr>
        <w:t>of  ~</w:t>
      </w:r>
      <w:proofErr w:type="gramEnd"/>
      <w:r w:rsidRPr="003805A9">
        <w:rPr>
          <w:rFonts w:ascii="Arial" w:hAnsi="Arial" w:cs="Arial"/>
          <w:sz w:val="24"/>
          <w:szCs w:val="24"/>
        </w:rPr>
        <w:t>2000 electrons.</w:t>
      </w:r>
    </w:p>
    <w:p w14:paraId="454AB553" w14:textId="77777777" w:rsidR="0059406E" w:rsidRPr="003805A9" w:rsidRDefault="0059406E" w:rsidP="0059406E">
      <w:pPr>
        <w:numPr>
          <w:ilvl w:val="0"/>
          <w:numId w:val="1"/>
        </w:numPr>
        <w:autoSpaceDE w:val="0"/>
        <w:autoSpaceDN w:val="0"/>
        <w:adjustRightInd w:val="0"/>
        <w:spacing w:after="0" w:line="240" w:lineRule="auto"/>
        <w:jc w:val="both"/>
        <w:rPr>
          <w:rFonts w:ascii="Arial" w:hAnsi="Arial" w:cs="Arial"/>
          <w:sz w:val="24"/>
          <w:szCs w:val="24"/>
        </w:rPr>
      </w:pPr>
      <w:r w:rsidRPr="003805A9">
        <w:rPr>
          <w:rFonts w:ascii="Arial" w:hAnsi="Arial" w:cs="Arial"/>
          <w:sz w:val="24"/>
          <w:szCs w:val="24"/>
        </w:rPr>
        <w:t xml:space="preserve">Survive 200 </w:t>
      </w:r>
      <w:proofErr w:type="spellStart"/>
      <w:r w:rsidRPr="003805A9">
        <w:rPr>
          <w:rFonts w:ascii="Arial" w:hAnsi="Arial" w:cs="Arial"/>
          <w:sz w:val="24"/>
          <w:szCs w:val="24"/>
        </w:rPr>
        <w:t>krad</w:t>
      </w:r>
      <w:proofErr w:type="spellEnd"/>
      <w:r w:rsidRPr="003805A9">
        <w:rPr>
          <w:rFonts w:ascii="Arial" w:hAnsi="Arial" w:cs="Arial"/>
          <w:sz w:val="24"/>
          <w:szCs w:val="24"/>
        </w:rPr>
        <w:t xml:space="preserve"> integrated radiation dose over 10 years.</w:t>
      </w:r>
    </w:p>
    <w:p w14:paraId="5E1B16D4" w14:textId="77777777" w:rsidR="0059406E" w:rsidRPr="003805A9" w:rsidRDefault="0059406E" w:rsidP="0059406E">
      <w:pPr>
        <w:numPr>
          <w:ilvl w:val="0"/>
          <w:numId w:val="1"/>
        </w:numPr>
        <w:autoSpaceDE w:val="0"/>
        <w:autoSpaceDN w:val="0"/>
        <w:adjustRightInd w:val="0"/>
        <w:spacing w:after="0" w:line="240" w:lineRule="auto"/>
        <w:jc w:val="both"/>
        <w:rPr>
          <w:rFonts w:ascii="Arial" w:hAnsi="Arial" w:cs="Arial"/>
          <w:sz w:val="24"/>
          <w:szCs w:val="24"/>
        </w:rPr>
      </w:pPr>
      <w:r w:rsidRPr="003805A9">
        <w:rPr>
          <w:rFonts w:ascii="Arial" w:hAnsi="Arial" w:cs="Arial"/>
          <w:sz w:val="24"/>
          <w:szCs w:val="24"/>
        </w:rPr>
        <w:t>The MVTX will function properly under all beam species.</w:t>
      </w:r>
    </w:p>
    <w:p w14:paraId="5047AF83" w14:textId="77777777" w:rsidR="0059406E" w:rsidRPr="003805A9" w:rsidRDefault="0059406E" w:rsidP="0059406E">
      <w:pPr>
        <w:numPr>
          <w:ilvl w:val="0"/>
          <w:numId w:val="1"/>
        </w:numPr>
        <w:autoSpaceDE w:val="0"/>
        <w:autoSpaceDN w:val="0"/>
        <w:adjustRightInd w:val="0"/>
        <w:spacing w:after="0" w:line="240" w:lineRule="auto"/>
        <w:jc w:val="both"/>
        <w:rPr>
          <w:rFonts w:ascii="Arial" w:hAnsi="Arial" w:cs="Arial"/>
          <w:sz w:val="24"/>
          <w:szCs w:val="24"/>
        </w:rPr>
      </w:pPr>
      <w:r w:rsidRPr="003805A9">
        <w:rPr>
          <w:rFonts w:ascii="Arial" w:hAnsi="Arial" w:cs="Arial"/>
          <w:sz w:val="24"/>
          <w:szCs w:val="24"/>
        </w:rPr>
        <w:t xml:space="preserve">The MVTX system must work within the existing sPHENIX readout scheme, </w:t>
      </w:r>
    </w:p>
    <w:p w14:paraId="69250F07" w14:textId="37A4D1AC" w:rsidR="0059406E" w:rsidRPr="003805A9" w:rsidRDefault="0059406E" w:rsidP="0059406E">
      <w:pPr>
        <w:numPr>
          <w:ilvl w:val="1"/>
          <w:numId w:val="1"/>
        </w:numPr>
        <w:autoSpaceDE w:val="0"/>
        <w:autoSpaceDN w:val="0"/>
        <w:adjustRightInd w:val="0"/>
        <w:spacing w:after="0" w:line="240" w:lineRule="auto"/>
        <w:jc w:val="both"/>
        <w:rPr>
          <w:rFonts w:ascii="Arial" w:hAnsi="Arial" w:cs="Arial"/>
          <w:sz w:val="24"/>
          <w:szCs w:val="24"/>
        </w:rPr>
      </w:pPr>
      <w:r w:rsidRPr="003805A9">
        <w:rPr>
          <w:rFonts w:ascii="Arial" w:hAnsi="Arial" w:cs="Arial"/>
          <w:sz w:val="24"/>
          <w:szCs w:val="24"/>
        </w:rPr>
        <w:t xml:space="preserve">must store the data for the LVL1 latency (4 </w:t>
      </w:r>
      <w:r w:rsidR="00A22234">
        <w:rPr>
          <w:rFonts w:ascii="Arial" w:hAnsi="Arial" w:cs="Arial"/>
          <w:sz w:val="24"/>
          <w:szCs w:val="24"/>
        </w:rPr>
        <w:t>µ</w:t>
      </w:r>
      <w:r w:rsidRPr="003805A9">
        <w:rPr>
          <w:rFonts w:ascii="Arial" w:hAnsi="Arial" w:cs="Arial"/>
          <w:sz w:val="24"/>
          <w:szCs w:val="24"/>
        </w:rPr>
        <w:t xml:space="preserve">s), </w:t>
      </w:r>
    </w:p>
    <w:p w14:paraId="4DBE6299" w14:textId="77777777" w:rsidR="0059406E" w:rsidRPr="003805A9" w:rsidRDefault="0059406E" w:rsidP="0059406E">
      <w:pPr>
        <w:numPr>
          <w:ilvl w:val="1"/>
          <w:numId w:val="1"/>
        </w:numPr>
        <w:autoSpaceDE w:val="0"/>
        <w:autoSpaceDN w:val="0"/>
        <w:adjustRightInd w:val="0"/>
        <w:spacing w:after="0" w:line="240" w:lineRule="auto"/>
        <w:jc w:val="both"/>
        <w:rPr>
          <w:rFonts w:ascii="Arial" w:hAnsi="Arial" w:cs="Arial"/>
          <w:sz w:val="24"/>
          <w:szCs w:val="24"/>
        </w:rPr>
      </w:pPr>
      <w:r w:rsidRPr="003805A9">
        <w:rPr>
          <w:rFonts w:ascii="Arial" w:hAnsi="Arial" w:cs="Arial"/>
          <w:sz w:val="24"/>
          <w:szCs w:val="24"/>
        </w:rPr>
        <w:t>must have a 4-deep buffer of LVL1 accepted events,</w:t>
      </w:r>
    </w:p>
    <w:p w14:paraId="1BD9665E" w14:textId="01711C82" w:rsidR="0059406E" w:rsidRPr="003805A9" w:rsidRDefault="0059406E" w:rsidP="0059406E">
      <w:pPr>
        <w:numPr>
          <w:ilvl w:val="1"/>
          <w:numId w:val="1"/>
        </w:numPr>
        <w:autoSpaceDE w:val="0"/>
        <w:autoSpaceDN w:val="0"/>
        <w:adjustRightInd w:val="0"/>
        <w:spacing w:after="0" w:line="240" w:lineRule="auto"/>
        <w:jc w:val="both"/>
        <w:rPr>
          <w:rFonts w:ascii="Arial" w:hAnsi="Arial" w:cs="Arial"/>
          <w:sz w:val="24"/>
          <w:szCs w:val="24"/>
        </w:rPr>
      </w:pPr>
      <w:r w:rsidRPr="003805A9">
        <w:rPr>
          <w:rFonts w:ascii="Arial" w:hAnsi="Arial" w:cs="Arial"/>
          <w:sz w:val="24"/>
          <w:szCs w:val="24"/>
        </w:rPr>
        <w:t xml:space="preserve">must readout data within 100 </w:t>
      </w:r>
      <w:r w:rsidR="00A22234">
        <w:rPr>
          <w:rFonts w:ascii="Arial" w:hAnsi="Arial" w:cs="Arial"/>
          <w:sz w:val="24"/>
          <w:szCs w:val="24"/>
        </w:rPr>
        <w:t>µ</w:t>
      </w:r>
      <w:r w:rsidRPr="003805A9">
        <w:rPr>
          <w:rFonts w:ascii="Arial" w:hAnsi="Arial" w:cs="Arial"/>
          <w:sz w:val="24"/>
          <w:szCs w:val="24"/>
        </w:rPr>
        <w:t xml:space="preserve">s to its front-end modules (FEMs) off the detector so as to not significantly reduce the maximum rate of sPHENIX Level-1 triggers which is designed to be 10 kHz. </w:t>
      </w:r>
    </w:p>
    <w:p w14:paraId="6A2A1374" w14:textId="36853758" w:rsidR="0059406E" w:rsidRPr="003805A9" w:rsidRDefault="0059406E" w:rsidP="0059406E">
      <w:pPr>
        <w:autoSpaceDE w:val="0"/>
        <w:autoSpaceDN w:val="0"/>
        <w:adjustRightInd w:val="0"/>
        <w:jc w:val="both"/>
        <w:rPr>
          <w:rFonts w:ascii="Arial" w:hAnsi="Arial" w:cs="Arial"/>
          <w:sz w:val="24"/>
          <w:szCs w:val="24"/>
        </w:rPr>
      </w:pPr>
      <w:r w:rsidRPr="003805A9">
        <w:rPr>
          <w:rFonts w:ascii="Arial" w:hAnsi="Arial" w:cs="Arial"/>
          <w:sz w:val="24"/>
          <w:szCs w:val="24"/>
        </w:rPr>
        <w:t xml:space="preserve">A subset of these requirements is summarized in </w:t>
      </w:r>
      <w:r w:rsidRPr="003805A9">
        <w:rPr>
          <w:rFonts w:ascii="Arial" w:hAnsi="Arial" w:cs="Arial"/>
          <w:sz w:val="24"/>
          <w:szCs w:val="24"/>
        </w:rPr>
        <w:fldChar w:fldCharType="begin"/>
      </w:r>
      <w:r w:rsidRPr="003805A9">
        <w:rPr>
          <w:rFonts w:ascii="Arial" w:hAnsi="Arial" w:cs="Arial"/>
          <w:sz w:val="24"/>
          <w:szCs w:val="24"/>
        </w:rPr>
        <w:instrText xml:space="preserve"> REF _Ref134177480 \h </w:instrText>
      </w:r>
      <w:r w:rsidR="003805A9" w:rsidRPr="003805A9">
        <w:rPr>
          <w:rFonts w:ascii="Arial" w:hAnsi="Arial" w:cs="Arial"/>
          <w:sz w:val="24"/>
          <w:szCs w:val="24"/>
        </w:rPr>
        <w:instrText xml:space="preserve"> \* MERGEFORMAT </w:instrText>
      </w:r>
      <w:r w:rsidRPr="003805A9">
        <w:rPr>
          <w:rFonts w:ascii="Arial" w:hAnsi="Arial" w:cs="Arial"/>
          <w:sz w:val="24"/>
          <w:szCs w:val="24"/>
        </w:rPr>
      </w:r>
      <w:r w:rsidRPr="003805A9">
        <w:rPr>
          <w:rFonts w:ascii="Arial" w:hAnsi="Arial" w:cs="Arial"/>
          <w:sz w:val="24"/>
          <w:szCs w:val="24"/>
        </w:rPr>
        <w:fldChar w:fldCharType="separate"/>
      </w:r>
      <w:r w:rsidR="00127F21" w:rsidRPr="003805A9">
        <w:rPr>
          <w:rFonts w:ascii="Arial" w:hAnsi="Arial" w:cs="Arial"/>
          <w:sz w:val="24"/>
          <w:szCs w:val="24"/>
        </w:rPr>
        <w:t xml:space="preserve">Table </w:t>
      </w:r>
      <w:r w:rsidR="00127F21">
        <w:rPr>
          <w:rFonts w:ascii="Arial" w:hAnsi="Arial" w:cs="Arial"/>
          <w:noProof/>
          <w:sz w:val="24"/>
          <w:szCs w:val="24"/>
        </w:rPr>
        <w:t>1</w:t>
      </w:r>
      <w:r w:rsidRPr="003805A9">
        <w:rPr>
          <w:rFonts w:ascii="Arial" w:hAnsi="Arial" w:cs="Arial"/>
          <w:sz w:val="24"/>
          <w:szCs w:val="24"/>
        </w:rPr>
        <w:fldChar w:fldCharType="end"/>
      </w:r>
      <w:r w:rsidRPr="003805A9">
        <w:rPr>
          <w:rFonts w:ascii="Arial" w:hAnsi="Arial" w:cs="Arial"/>
          <w:sz w:val="24"/>
          <w:szCs w:val="24"/>
        </w:rPr>
        <w:t xml:space="preserve"> and represents the performance parameters that the project will be responsible for delivering at the project close-out</w:t>
      </w:r>
    </w:p>
    <w:p w14:paraId="6B39302A" w14:textId="77777777" w:rsidR="0059406E" w:rsidRPr="003805A9" w:rsidRDefault="0059406E" w:rsidP="0059406E">
      <w:pPr>
        <w:autoSpaceDE w:val="0"/>
        <w:autoSpaceDN w:val="0"/>
        <w:adjustRightInd w:val="0"/>
        <w:jc w:val="both"/>
        <w:rPr>
          <w:rFonts w:ascii="Arial" w:hAnsi="Arial" w:cs="Arial"/>
          <w:sz w:val="24"/>
          <w:szCs w:val="24"/>
        </w:rPr>
      </w:pPr>
    </w:p>
    <w:p w14:paraId="0BF9B219" w14:textId="5AEA4FF4" w:rsidR="0059406E" w:rsidRPr="003805A9" w:rsidRDefault="0059406E" w:rsidP="0059406E">
      <w:pPr>
        <w:pStyle w:val="Caption"/>
        <w:keepNext/>
        <w:rPr>
          <w:rFonts w:ascii="Arial" w:hAnsi="Arial" w:cs="Arial"/>
          <w:sz w:val="24"/>
          <w:szCs w:val="24"/>
        </w:rPr>
      </w:pPr>
      <w:bookmarkStart w:id="3" w:name="_Ref134177480"/>
      <w:bookmarkStart w:id="4" w:name="_Toc134180095"/>
      <w:bookmarkStart w:id="5" w:name="_Toc494889016"/>
      <w:r w:rsidRPr="003805A9">
        <w:rPr>
          <w:rFonts w:ascii="Arial" w:hAnsi="Arial" w:cs="Arial"/>
          <w:sz w:val="24"/>
          <w:szCs w:val="24"/>
        </w:rPr>
        <w:t xml:space="preserve">Table </w:t>
      </w:r>
      <w:r w:rsidRPr="003805A9">
        <w:rPr>
          <w:rFonts w:ascii="Arial" w:hAnsi="Arial" w:cs="Arial"/>
          <w:sz w:val="24"/>
          <w:szCs w:val="24"/>
        </w:rPr>
        <w:fldChar w:fldCharType="begin"/>
      </w:r>
      <w:r w:rsidRPr="003805A9">
        <w:rPr>
          <w:rFonts w:ascii="Arial" w:hAnsi="Arial" w:cs="Arial"/>
          <w:sz w:val="24"/>
          <w:szCs w:val="24"/>
        </w:rPr>
        <w:instrText xml:space="preserve"> SEQ Table \* ARABIC </w:instrText>
      </w:r>
      <w:r w:rsidRPr="003805A9">
        <w:rPr>
          <w:rFonts w:ascii="Arial" w:hAnsi="Arial" w:cs="Arial"/>
          <w:sz w:val="24"/>
          <w:szCs w:val="24"/>
        </w:rPr>
        <w:fldChar w:fldCharType="separate"/>
      </w:r>
      <w:r w:rsidR="00127F21">
        <w:rPr>
          <w:rFonts w:ascii="Arial" w:hAnsi="Arial" w:cs="Arial"/>
          <w:noProof/>
          <w:sz w:val="24"/>
          <w:szCs w:val="24"/>
        </w:rPr>
        <w:t>1</w:t>
      </w:r>
      <w:r w:rsidRPr="003805A9">
        <w:rPr>
          <w:rFonts w:ascii="Arial" w:hAnsi="Arial" w:cs="Arial"/>
          <w:sz w:val="24"/>
          <w:szCs w:val="24"/>
        </w:rPr>
        <w:fldChar w:fldCharType="end"/>
      </w:r>
      <w:bookmarkEnd w:id="3"/>
      <w:r w:rsidRPr="003805A9">
        <w:rPr>
          <w:rFonts w:ascii="Arial" w:hAnsi="Arial" w:cs="Arial"/>
          <w:sz w:val="24"/>
          <w:szCs w:val="24"/>
        </w:rPr>
        <w:t xml:space="preserve"> sPHENIX MVTX System Functional Requirements</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9"/>
        <w:gridCol w:w="4419"/>
      </w:tblGrid>
      <w:tr w:rsidR="0059406E" w:rsidRPr="003805A9" w14:paraId="770DBF56" w14:textId="77777777" w:rsidTr="00BB5B0D">
        <w:tc>
          <w:tcPr>
            <w:tcW w:w="4419" w:type="dxa"/>
            <w:shd w:val="clear" w:color="auto" w:fill="auto"/>
          </w:tcPr>
          <w:p w14:paraId="05321FDC" w14:textId="77777777" w:rsidR="0059406E" w:rsidRPr="003805A9" w:rsidRDefault="0059406E" w:rsidP="00BB5B0D">
            <w:pPr>
              <w:autoSpaceDE w:val="0"/>
              <w:autoSpaceDN w:val="0"/>
              <w:adjustRightInd w:val="0"/>
              <w:rPr>
                <w:rFonts w:ascii="Arial" w:hAnsi="Arial" w:cs="Arial"/>
                <w:bCs/>
                <w:sz w:val="24"/>
                <w:szCs w:val="24"/>
              </w:rPr>
            </w:pPr>
            <w:r w:rsidRPr="003805A9">
              <w:rPr>
                <w:rFonts w:ascii="Arial" w:hAnsi="Arial" w:cs="Arial"/>
                <w:bCs/>
                <w:sz w:val="24"/>
                <w:szCs w:val="24"/>
              </w:rPr>
              <w:t>pixels active</w:t>
            </w:r>
          </w:p>
        </w:tc>
        <w:tc>
          <w:tcPr>
            <w:tcW w:w="4419" w:type="dxa"/>
            <w:shd w:val="clear" w:color="auto" w:fill="auto"/>
          </w:tcPr>
          <w:p w14:paraId="6EFCE5EE" w14:textId="77777777" w:rsidR="0059406E" w:rsidRPr="003805A9" w:rsidRDefault="0059406E" w:rsidP="00BB5B0D">
            <w:pPr>
              <w:autoSpaceDE w:val="0"/>
              <w:autoSpaceDN w:val="0"/>
              <w:adjustRightInd w:val="0"/>
              <w:rPr>
                <w:rFonts w:ascii="Arial" w:hAnsi="Arial" w:cs="Arial"/>
                <w:bCs/>
                <w:sz w:val="24"/>
                <w:szCs w:val="24"/>
              </w:rPr>
            </w:pPr>
            <w:r w:rsidRPr="003805A9">
              <w:rPr>
                <w:rFonts w:ascii="Arial" w:hAnsi="Arial" w:cs="Arial"/>
                <w:bCs/>
                <w:sz w:val="24"/>
                <w:szCs w:val="24"/>
              </w:rPr>
              <w:t>&gt;80%</w:t>
            </w:r>
          </w:p>
        </w:tc>
      </w:tr>
      <w:tr w:rsidR="0059406E" w:rsidRPr="003805A9" w14:paraId="11C8330A" w14:textId="77777777" w:rsidTr="00BB5B0D">
        <w:tc>
          <w:tcPr>
            <w:tcW w:w="4419" w:type="dxa"/>
            <w:shd w:val="clear" w:color="auto" w:fill="auto"/>
          </w:tcPr>
          <w:p w14:paraId="65724B63" w14:textId="77777777" w:rsidR="0059406E" w:rsidRPr="003805A9" w:rsidRDefault="0059406E" w:rsidP="00BB5B0D">
            <w:pPr>
              <w:autoSpaceDE w:val="0"/>
              <w:autoSpaceDN w:val="0"/>
              <w:adjustRightInd w:val="0"/>
              <w:rPr>
                <w:rFonts w:ascii="Arial" w:hAnsi="Arial" w:cs="Arial"/>
                <w:bCs/>
                <w:sz w:val="24"/>
                <w:szCs w:val="24"/>
              </w:rPr>
            </w:pPr>
            <w:r w:rsidRPr="003805A9">
              <w:rPr>
                <w:rFonts w:ascii="Arial" w:hAnsi="Arial" w:cs="Arial"/>
                <w:bCs/>
                <w:sz w:val="24"/>
                <w:szCs w:val="24"/>
              </w:rPr>
              <w:t>Hit efficiency</w:t>
            </w:r>
          </w:p>
        </w:tc>
        <w:tc>
          <w:tcPr>
            <w:tcW w:w="4419" w:type="dxa"/>
            <w:shd w:val="clear" w:color="auto" w:fill="auto"/>
          </w:tcPr>
          <w:p w14:paraId="6CC30C9F" w14:textId="77777777" w:rsidR="0059406E" w:rsidRPr="003805A9" w:rsidRDefault="0059406E" w:rsidP="00BB5B0D">
            <w:pPr>
              <w:autoSpaceDE w:val="0"/>
              <w:autoSpaceDN w:val="0"/>
              <w:adjustRightInd w:val="0"/>
              <w:rPr>
                <w:rFonts w:ascii="Arial" w:hAnsi="Arial" w:cs="Arial"/>
                <w:bCs/>
                <w:sz w:val="24"/>
                <w:szCs w:val="24"/>
              </w:rPr>
            </w:pPr>
            <w:r w:rsidRPr="003805A9">
              <w:rPr>
                <w:rFonts w:ascii="Arial" w:hAnsi="Arial" w:cs="Arial"/>
                <w:bCs/>
                <w:sz w:val="24"/>
                <w:szCs w:val="24"/>
              </w:rPr>
              <w:t>&gt;90%</w:t>
            </w:r>
          </w:p>
        </w:tc>
      </w:tr>
      <w:tr w:rsidR="0059406E" w:rsidRPr="003805A9" w14:paraId="385CFBBD" w14:textId="77777777" w:rsidTr="00BB5B0D">
        <w:tc>
          <w:tcPr>
            <w:tcW w:w="4419" w:type="dxa"/>
            <w:shd w:val="clear" w:color="auto" w:fill="auto"/>
          </w:tcPr>
          <w:p w14:paraId="485AC31A" w14:textId="77777777" w:rsidR="0059406E" w:rsidRPr="003805A9" w:rsidRDefault="0059406E" w:rsidP="00BB5B0D">
            <w:pPr>
              <w:autoSpaceDE w:val="0"/>
              <w:autoSpaceDN w:val="0"/>
              <w:adjustRightInd w:val="0"/>
              <w:rPr>
                <w:rFonts w:ascii="Arial" w:hAnsi="Arial" w:cs="Arial"/>
                <w:bCs/>
                <w:sz w:val="24"/>
                <w:szCs w:val="24"/>
              </w:rPr>
            </w:pPr>
            <w:r w:rsidRPr="003805A9">
              <w:rPr>
                <w:rFonts w:ascii="Arial" w:hAnsi="Arial" w:cs="Arial"/>
                <w:bCs/>
                <w:sz w:val="24"/>
                <w:szCs w:val="24"/>
              </w:rPr>
              <w:t xml:space="preserve">Radiation length per wedge </w:t>
            </w:r>
          </w:p>
        </w:tc>
        <w:tc>
          <w:tcPr>
            <w:tcW w:w="4419" w:type="dxa"/>
            <w:shd w:val="clear" w:color="auto" w:fill="auto"/>
          </w:tcPr>
          <w:p w14:paraId="5CFB8653" w14:textId="77777777" w:rsidR="0059406E" w:rsidRPr="003805A9" w:rsidRDefault="0059406E" w:rsidP="00BB5B0D">
            <w:pPr>
              <w:autoSpaceDE w:val="0"/>
              <w:autoSpaceDN w:val="0"/>
              <w:adjustRightInd w:val="0"/>
              <w:rPr>
                <w:rFonts w:ascii="Arial" w:hAnsi="Arial" w:cs="Arial"/>
                <w:bCs/>
                <w:sz w:val="24"/>
                <w:szCs w:val="24"/>
              </w:rPr>
            </w:pPr>
            <w:r w:rsidRPr="003805A9">
              <w:rPr>
                <w:rFonts w:ascii="Arial" w:hAnsi="Arial" w:cs="Arial"/>
                <w:bCs/>
                <w:sz w:val="24"/>
                <w:szCs w:val="24"/>
              </w:rPr>
              <w:t>&lt; .5 %</w:t>
            </w:r>
          </w:p>
        </w:tc>
      </w:tr>
      <w:tr w:rsidR="0059406E" w:rsidRPr="003805A9" w14:paraId="04FE2DB4" w14:textId="77777777" w:rsidTr="00BB5B0D">
        <w:tc>
          <w:tcPr>
            <w:tcW w:w="4419" w:type="dxa"/>
            <w:shd w:val="clear" w:color="auto" w:fill="auto"/>
          </w:tcPr>
          <w:p w14:paraId="6232567A" w14:textId="77777777" w:rsidR="0059406E" w:rsidRPr="003805A9" w:rsidRDefault="0059406E" w:rsidP="00BB5B0D">
            <w:pPr>
              <w:autoSpaceDE w:val="0"/>
              <w:autoSpaceDN w:val="0"/>
              <w:adjustRightInd w:val="0"/>
              <w:rPr>
                <w:rFonts w:ascii="Arial" w:hAnsi="Arial" w:cs="Arial"/>
                <w:bCs/>
                <w:sz w:val="24"/>
                <w:szCs w:val="24"/>
              </w:rPr>
            </w:pPr>
            <w:r w:rsidRPr="003805A9">
              <w:rPr>
                <w:rFonts w:ascii="Arial" w:hAnsi="Arial" w:cs="Arial"/>
                <w:bCs/>
                <w:sz w:val="24"/>
                <w:szCs w:val="24"/>
              </w:rPr>
              <w:t xml:space="preserve">Detector hit resolution </w:t>
            </w:r>
          </w:p>
        </w:tc>
        <w:tc>
          <w:tcPr>
            <w:tcW w:w="4419" w:type="dxa"/>
            <w:shd w:val="clear" w:color="auto" w:fill="auto"/>
          </w:tcPr>
          <w:p w14:paraId="402C77D6" w14:textId="52CD0C01" w:rsidR="0059406E" w:rsidRPr="003805A9" w:rsidRDefault="0059406E" w:rsidP="00BB5B0D">
            <w:pPr>
              <w:autoSpaceDE w:val="0"/>
              <w:autoSpaceDN w:val="0"/>
              <w:adjustRightInd w:val="0"/>
              <w:rPr>
                <w:rFonts w:ascii="Arial" w:hAnsi="Arial" w:cs="Arial"/>
                <w:bCs/>
                <w:sz w:val="24"/>
                <w:szCs w:val="24"/>
              </w:rPr>
            </w:pPr>
            <w:r w:rsidRPr="003805A9">
              <w:rPr>
                <w:rFonts w:ascii="Arial" w:hAnsi="Arial" w:cs="Arial"/>
                <w:bCs/>
                <w:sz w:val="24"/>
                <w:szCs w:val="24"/>
              </w:rPr>
              <w:t xml:space="preserve">&lt; 25 </w:t>
            </w:r>
            <w:r w:rsidR="00A22234">
              <w:rPr>
                <w:rFonts w:ascii="Arial" w:hAnsi="Arial" w:cs="Arial"/>
                <w:sz w:val="24"/>
                <w:szCs w:val="24"/>
              </w:rPr>
              <w:t>µ</w:t>
            </w:r>
            <w:r w:rsidRPr="003805A9">
              <w:rPr>
                <w:rFonts w:ascii="Arial" w:hAnsi="Arial" w:cs="Arial"/>
                <w:sz w:val="24"/>
                <w:szCs w:val="24"/>
              </w:rPr>
              <w:t>m</w:t>
            </w:r>
          </w:p>
        </w:tc>
      </w:tr>
      <w:tr w:rsidR="0059406E" w:rsidRPr="003805A9" w14:paraId="7F6927C5" w14:textId="77777777" w:rsidTr="00BB5B0D">
        <w:tc>
          <w:tcPr>
            <w:tcW w:w="4419" w:type="dxa"/>
            <w:shd w:val="clear" w:color="auto" w:fill="auto"/>
          </w:tcPr>
          <w:p w14:paraId="262C0784" w14:textId="77777777" w:rsidR="0059406E" w:rsidRPr="003805A9" w:rsidRDefault="0059406E" w:rsidP="00BB5B0D">
            <w:pPr>
              <w:autoSpaceDE w:val="0"/>
              <w:autoSpaceDN w:val="0"/>
              <w:adjustRightInd w:val="0"/>
              <w:rPr>
                <w:rFonts w:ascii="Arial" w:hAnsi="Arial" w:cs="Arial"/>
                <w:bCs/>
                <w:sz w:val="24"/>
                <w:szCs w:val="24"/>
              </w:rPr>
            </w:pPr>
            <w:r w:rsidRPr="003805A9">
              <w:rPr>
                <w:rFonts w:ascii="Arial" w:hAnsi="Arial" w:cs="Arial"/>
                <w:bCs/>
                <w:sz w:val="24"/>
                <w:szCs w:val="24"/>
              </w:rPr>
              <w:t>Noise hits/chip</w:t>
            </w:r>
          </w:p>
        </w:tc>
        <w:tc>
          <w:tcPr>
            <w:tcW w:w="4419" w:type="dxa"/>
            <w:shd w:val="clear" w:color="auto" w:fill="auto"/>
          </w:tcPr>
          <w:p w14:paraId="0229247B" w14:textId="77777777" w:rsidR="0059406E" w:rsidRPr="003805A9" w:rsidRDefault="0059406E" w:rsidP="00BB5B0D">
            <w:pPr>
              <w:autoSpaceDE w:val="0"/>
              <w:autoSpaceDN w:val="0"/>
              <w:adjustRightInd w:val="0"/>
              <w:rPr>
                <w:rFonts w:ascii="Arial" w:hAnsi="Arial" w:cs="Arial"/>
                <w:sz w:val="24"/>
                <w:szCs w:val="24"/>
              </w:rPr>
            </w:pPr>
            <w:r w:rsidRPr="003805A9">
              <w:rPr>
                <w:rFonts w:ascii="Arial" w:hAnsi="Arial" w:cs="Arial"/>
                <w:sz w:val="24"/>
                <w:szCs w:val="24"/>
              </w:rPr>
              <w:t>&lt;1%</w:t>
            </w:r>
          </w:p>
        </w:tc>
      </w:tr>
      <w:tr w:rsidR="0059406E" w:rsidRPr="003805A9" w14:paraId="1F8F83A4" w14:textId="77777777" w:rsidTr="00BB5B0D">
        <w:tc>
          <w:tcPr>
            <w:tcW w:w="4419" w:type="dxa"/>
            <w:shd w:val="clear" w:color="auto" w:fill="auto"/>
          </w:tcPr>
          <w:p w14:paraId="0027AD67" w14:textId="77777777" w:rsidR="0059406E" w:rsidRPr="003805A9" w:rsidRDefault="0059406E" w:rsidP="00BB5B0D">
            <w:pPr>
              <w:autoSpaceDE w:val="0"/>
              <w:autoSpaceDN w:val="0"/>
              <w:adjustRightInd w:val="0"/>
              <w:rPr>
                <w:rFonts w:ascii="Arial" w:hAnsi="Arial" w:cs="Arial"/>
                <w:bCs/>
                <w:sz w:val="24"/>
                <w:szCs w:val="24"/>
              </w:rPr>
            </w:pPr>
            <w:r w:rsidRPr="003805A9">
              <w:rPr>
                <w:rFonts w:ascii="Arial" w:hAnsi="Arial" w:cs="Arial"/>
                <w:bCs/>
                <w:sz w:val="24"/>
                <w:szCs w:val="24"/>
              </w:rPr>
              <w:t>LVL1 latency</w:t>
            </w:r>
          </w:p>
        </w:tc>
        <w:tc>
          <w:tcPr>
            <w:tcW w:w="4419" w:type="dxa"/>
            <w:shd w:val="clear" w:color="auto" w:fill="auto"/>
          </w:tcPr>
          <w:p w14:paraId="0D340424" w14:textId="2AB72FB1" w:rsidR="0059406E" w:rsidRPr="003805A9" w:rsidRDefault="0059406E" w:rsidP="00BB5B0D">
            <w:pPr>
              <w:autoSpaceDE w:val="0"/>
              <w:autoSpaceDN w:val="0"/>
              <w:adjustRightInd w:val="0"/>
              <w:rPr>
                <w:rFonts w:ascii="Arial" w:hAnsi="Arial" w:cs="Arial"/>
                <w:bCs/>
                <w:sz w:val="24"/>
                <w:szCs w:val="24"/>
              </w:rPr>
            </w:pPr>
            <w:r w:rsidRPr="003805A9">
              <w:rPr>
                <w:rFonts w:ascii="Arial" w:hAnsi="Arial" w:cs="Arial"/>
                <w:bCs/>
                <w:sz w:val="24"/>
                <w:szCs w:val="24"/>
              </w:rPr>
              <w:t xml:space="preserve">4 </w:t>
            </w:r>
            <w:r w:rsidR="00170373">
              <w:rPr>
                <w:rFonts w:ascii="Arial" w:hAnsi="Arial" w:cs="Arial"/>
                <w:bCs/>
                <w:sz w:val="24"/>
                <w:szCs w:val="24"/>
              </w:rPr>
              <w:t>µ</w:t>
            </w:r>
            <w:r w:rsidRPr="003805A9">
              <w:rPr>
                <w:rFonts w:ascii="Arial" w:hAnsi="Arial" w:cs="Arial"/>
                <w:bCs/>
                <w:sz w:val="24"/>
                <w:szCs w:val="24"/>
              </w:rPr>
              <w:t>s</w:t>
            </w:r>
          </w:p>
        </w:tc>
      </w:tr>
      <w:tr w:rsidR="0059406E" w:rsidRPr="003805A9" w14:paraId="39619C0A" w14:textId="77777777" w:rsidTr="00BB5B0D">
        <w:tc>
          <w:tcPr>
            <w:tcW w:w="4419" w:type="dxa"/>
            <w:shd w:val="clear" w:color="auto" w:fill="auto"/>
          </w:tcPr>
          <w:p w14:paraId="5FB9F306" w14:textId="77777777" w:rsidR="0059406E" w:rsidRPr="003805A9" w:rsidRDefault="0059406E" w:rsidP="00BB5B0D">
            <w:pPr>
              <w:autoSpaceDE w:val="0"/>
              <w:autoSpaceDN w:val="0"/>
              <w:adjustRightInd w:val="0"/>
              <w:rPr>
                <w:rFonts w:ascii="Arial" w:hAnsi="Arial" w:cs="Arial"/>
                <w:bCs/>
                <w:sz w:val="24"/>
                <w:szCs w:val="24"/>
              </w:rPr>
            </w:pPr>
            <w:r w:rsidRPr="003805A9">
              <w:rPr>
                <w:rFonts w:ascii="Arial" w:hAnsi="Arial" w:cs="Arial"/>
                <w:bCs/>
                <w:sz w:val="24"/>
                <w:szCs w:val="24"/>
              </w:rPr>
              <w:t>LVL1 Multi-Event buffer depth</w:t>
            </w:r>
          </w:p>
        </w:tc>
        <w:tc>
          <w:tcPr>
            <w:tcW w:w="4419" w:type="dxa"/>
            <w:shd w:val="clear" w:color="auto" w:fill="auto"/>
          </w:tcPr>
          <w:p w14:paraId="7BAD1092" w14:textId="77777777" w:rsidR="0059406E" w:rsidRPr="003805A9" w:rsidRDefault="0059406E" w:rsidP="00BB5B0D">
            <w:pPr>
              <w:autoSpaceDE w:val="0"/>
              <w:autoSpaceDN w:val="0"/>
              <w:adjustRightInd w:val="0"/>
              <w:rPr>
                <w:rFonts w:ascii="Arial" w:hAnsi="Arial" w:cs="Arial"/>
                <w:bCs/>
                <w:sz w:val="24"/>
                <w:szCs w:val="24"/>
              </w:rPr>
            </w:pPr>
            <w:r w:rsidRPr="003805A9">
              <w:rPr>
                <w:rFonts w:ascii="Arial" w:hAnsi="Arial" w:cs="Arial"/>
                <w:bCs/>
                <w:sz w:val="24"/>
                <w:szCs w:val="24"/>
              </w:rPr>
              <w:t>4 events</w:t>
            </w:r>
          </w:p>
        </w:tc>
      </w:tr>
      <w:tr w:rsidR="0059406E" w:rsidRPr="003805A9" w14:paraId="204B7895" w14:textId="77777777" w:rsidTr="00BB5B0D">
        <w:tc>
          <w:tcPr>
            <w:tcW w:w="4419" w:type="dxa"/>
            <w:shd w:val="clear" w:color="auto" w:fill="auto"/>
          </w:tcPr>
          <w:p w14:paraId="70ABEDCB" w14:textId="77777777" w:rsidR="0059406E" w:rsidRPr="003805A9" w:rsidRDefault="0059406E" w:rsidP="00BB5B0D">
            <w:pPr>
              <w:autoSpaceDE w:val="0"/>
              <w:autoSpaceDN w:val="0"/>
              <w:adjustRightInd w:val="0"/>
              <w:rPr>
                <w:rFonts w:ascii="Arial" w:hAnsi="Arial" w:cs="Arial"/>
                <w:bCs/>
                <w:sz w:val="24"/>
                <w:szCs w:val="24"/>
              </w:rPr>
            </w:pPr>
            <w:r w:rsidRPr="003805A9">
              <w:rPr>
                <w:rFonts w:ascii="Arial" w:hAnsi="Arial" w:cs="Arial"/>
                <w:bCs/>
                <w:sz w:val="24"/>
                <w:szCs w:val="24"/>
              </w:rPr>
              <w:t>Read-out time</w:t>
            </w:r>
          </w:p>
        </w:tc>
        <w:tc>
          <w:tcPr>
            <w:tcW w:w="4419" w:type="dxa"/>
            <w:shd w:val="clear" w:color="auto" w:fill="auto"/>
          </w:tcPr>
          <w:p w14:paraId="0ECE6D80" w14:textId="581BF7EF" w:rsidR="0059406E" w:rsidRPr="003805A9" w:rsidRDefault="0059406E" w:rsidP="00BB5B0D">
            <w:pPr>
              <w:autoSpaceDE w:val="0"/>
              <w:autoSpaceDN w:val="0"/>
              <w:adjustRightInd w:val="0"/>
              <w:rPr>
                <w:rFonts w:ascii="Arial" w:hAnsi="Arial" w:cs="Arial"/>
                <w:bCs/>
                <w:sz w:val="24"/>
                <w:szCs w:val="24"/>
              </w:rPr>
            </w:pPr>
            <w:r w:rsidRPr="003805A9">
              <w:rPr>
                <w:rFonts w:ascii="Arial" w:hAnsi="Arial" w:cs="Arial"/>
                <w:bCs/>
                <w:sz w:val="24"/>
                <w:szCs w:val="24"/>
              </w:rPr>
              <w:t xml:space="preserve">&lt; </w:t>
            </w:r>
            <w:r w:rsidRPr="003805A9">
              <w:rPr>
                <w:rFonts w:ascii="Arial" w:hAnsi="Arial" w:cs="Arial"/>
                <w:sz w:val="24"/>
                <w:szCs w:val="24"/>
              </w:rPr>
              <w:t xml:space="preserve">10 </w:t>
            </w:r>
            <w:r w:rsidR="00170373">
              <w:rPr>
                <w:rFonts w:ascii="Arial" w:hAnsi="Arial" w:cs="Arial"/>
                <w:sz w:val="24"/>
                <w:szCs w:val="24"/>
              </w:rPr>
              <w:t>µ</w:t>
            </w:r>
            <w:r w:rsidRPr="003805A9">
              <w:rPr>
                <w:rFonts w:ascii="Arial" w:hAnsi="Arial" w:cs="Arial"/>
                <w:sz w:val="24"/>
                <w:szCs w:val="24"/>
              </w:rPr>
              <w:t>s</w:t>
            </w:r>
          </w:p>
        </w:tc>
      </w:tr>
      <w:tr w:rsidR="0059406E" w:rsidRPr="003805A9" w14:paraId="1A3DEBFF" w14:textId="77777777" w:rsidTr="00BB5B0D">
        <w:tc>
          <w:tcPr>
            <w:tcW w:w="4419" w:type="dxa"/>
            <w:shd w:val="clear" w:color="auto" w:fill="auto"/>
          </w:tcPr>
          <w:p w14:paraId="0A5D9EA2" w14:textId="77777777" w:rsidR="0059406E" w:rsidRPr="003805A9" w:rsidRDefault="0059406E" w:rsidP="00BB5B0D">
            <w:pPr>
              <w:autoSpaceDE w:val="0"/>
              <w:autoSpaceDN w:val="0"/>
              <w:adjustRightInd w:val="0"/>
              <w:rPr>
                <w:rFonts w:ascii="Arial" w:hAnsi="Arial" w:cs="Arial"/>
                <w:bCs/>
                <w:sz w:val="24"/>
                <w:szCs w:val="24"/>
              </w:rPr>
            </w:pPr>
            <w:r w:rsidRPr="003805A9">
              <w:rPr>
                <w:rFonts w:ascii="Arial" w:hAnsi="Arial" w:cs="Arial"/>
                <w:bCs/>
                <w:sz w:val="24"/>
                <w:szCs w:val="24"/>
              </w:rPr>
              <w:lastRenderedPageBreak/>
              <w:t>Read-out rate</w:t>
            </w:r>
          </w:p>
        </w:tc>
        <w:tc>
          <w:tcPr>
            <w:tcW w:w="4419" w:type="dxa"/>
            <w:shd w:val="clear" w:color="auto" w:fill="auto"/>
          </w:tcPr>
          <w:p w14:paraId="449B70A9" w14:textId="77777777" w:rsidR="0059406E" w:rsidRPr="003805A9" w:rsidRDefault="0059406E" w:rsidP="00BB5B0D">
            <w:pPr>
              <w:autoSpaceDE w:val="0"/>
              <w:autoSpaceDN w:val="0"/>
              <w:adjustRightInd w:val="0"/>
              <w:rPr>
                <w:rFonts w:ascii="Arial" w:hAnsi="Arial" w:cs="Arial"/>
                <w:bCs/>
                <w:sz w:val="24"/>
                <w:szCs w:val="24"/>
              </w:rPr>
            </w:pPr>
            <w:r w:rsidRPr="003805A9">
              <w:rPr>
                <w:rFonts w:ascii="Arial" w:hAnsi="Arial" w:cs="Arial"/>
                <w:bCs/>
                <w:sz w:val="24"/>
                <w:szCs w:val="24"/>
              </w:rPr>
              <w:t>&gt; 10 kHz</w:t>
            </w:r>
          </w:p>
        </w:tc>
      </w:tr>
    </w:tbl>
    <w:p w14:paraId="54935EFE" w14:textId="77777777" w:rsidR="0059406E" w:rsidRPr="003805A9" w:rsidRDefault="0059406E" w:rsidP="0059406E">
      <w:pPr>
        <w:rPr>
          <w:rFonts w:ascii="Arial" w:hAnsi="Arial" w:cs="Arial"/>
          <w:sz w:val="24"/>
          <w:szCs w:val="24"/>
        </w:rPr>
      </w:pPr>
    </w:p>
    <w:p w14:paraId="34B00972" w14:textId="0AF2904D" w:rsidR="0059406E" w:rsidRDefault="00170373" w:rsidP="0059406E">
      <w:pPr>
        <w:rPr>
          <w:rFonts w:ascii="Arial" w:hAnsi="Arial" w:cs="Arial"/>
          <w:b/>
          <w:bCs/>
          <w:sz w:val="24"/>
          <w:szCs w:val="24"/>
        </w:rPr>
      </w:pPr>
      <w:r>
        <w:rPr>
          <w:rFonts w:ascii="Arial" w:hAnsi="Arial" w:cs="Arial"/>
          <w:b/>
          <w:bCs/>
          <w:sz w:val="24"/>
          <w:szCs w:val="24"/>
        </w:rPr>
        <w:t>Table 2 MVTX Deliverables</w:t>
      </w:r>
    </w:p>
    <w:tbl>
      <w:tblPr>
        <w:tblStyle w:val="TableGrid"/>
        <w:tblW w:w="0" w:type="auto"/>
        <w:tblLook w:val="04A0" w:firstRow="1" w:lastRow="0" w:firstColumn="1" w:lastColumn="0" w:noHBand="0" w:noVBand="1"/>
      </w:tblPr>
      <w:tblGrid>
        <w:gridCol w:w="3116"/>
        <w:gridCol w:w="3117"/>
        <w:gridCol w:w="3117"/>
      </w:tblGrid>
      <w:tr w:rsidR="00170373" w14:paraId="3CF49836" w14:textId="77777777" w:rsidTr="00170373">
        <w:tc>
          <w:tcPr>
            <w:tcW w:w="3116" w:type="dxa"/>
          </w:tcPr>
          <w:p w14:paraId="14D139F4" w14:textId="2797EE5B" w:rsidR="00170373" w:rsidRDefault="00170373" w:rsidP="0059406E">
            <w:pPr>
              <w:rPr>
                <w:rFonts w:ascii="Arial" w:hAnsi="Arial" w:cs="Arial"/>
                <w:b/>
                <w:bCs/>
                <w:sz w:val="24"/>
                <w:szCs w:val="24"/>
              </w:rPr>
            </w:pPr>
            <w:r>
              <w:rPr>
                <w:rFonts w:ascii="Arial" w:hAnsi="Arial" w:cs="Arial"/>
                <w:b/>
                <w:bCs/>
                <w:sz w:val="24"/>
                <w:szCs w:val="24"/>
              </w:rPr>
              <w:t>ITEM</w:t>
            </w:r>
          </w:p>
        </w:tc>
        <w:tc>
          <w:tcPr>
            <w:tcW w:w="3117" w:type="dxa"/>
          </w:tcPr>
          <w:p w14:paraId="39A8FE10" w14:textId="0A505AE0" w:rsidR="00170373" w:rsidRDefault="00170373" w:rsidP="0059406E">
            <w:pPr>
              <w:rPr>
                <w:rFonts w:ascii="Arial" w:hAnsi="Arial" w:cs="Arial"/>
                <w:b/>
                <w:bCs/>
                <w:sz w:val="24"/>
                <w:szCs w:val="24"/>
              </w:rPr>
            </w:pPr>
            <w:r>
              <w:rPr>
                <w:rFonts w:ascii="Arial" w:hAnsi="Arial" w:cs="Arial"/>
                <w:b/>
                <w:bCs/>
                <w:sz w:val="24"/>
                <w:szCs w:val="24"/>
              </w:rPr>
              <w:t>Quantity</w:t>
            </w:r>
          </w:p>
        </w:tc>
        <w:tc>
          <w:tcPr>
            <w:tcW w:w="3117" w:type="dxa"/>
          </w:tcPr>
          <w:p w14:paraId="23277D09" w14:textId="4FE47556" w:rsidR="00170373" w:rsidRDefault="00170373" w:rsidP="0059406E">
            <w:pPr>
              <w:rPr>
                <w:rFonts w:ascii="Arial" w:hAnsi="Arial" w:cs="Arial"/>
                <w:b/>
                <w:bCs/>
                <w:sz w:val="24"/>
                <w:szCs w:val="24"/>
              </w:rPr>
            </w:pPr>
            <w:r>
              <w:rPr>
                <w:rFonts w:ascii="Arial" w:hAnsi="Arial" w:cs="Arial"/>
                <w:b/>
                <w:bCs/>
                <w:sz w:val="24"/>
                <w:szCs w:val="24"/>
              </w:rPr>
              <w:t>Spares</w:t>
            </w:r>
          </w:p>
        </w:tc>
      </w:tr>
      <w:tr w:rsidR="00170373" w14:paraId="27AB465F" w14:textId="77777777" w:rsidTr="00170373">
        <w:tc>
          <w:tcPr>
            <w:tcW w:w="3116" w:type="dxa"/>
          </w:tcPr>
          <w:p w14:paraId="0E803692" w14:textId="19798865" w:rsidR="00170373" w:rsidRPr="00170373" w:rsidRDefault="00170373" w:rsidP="0059406E">
            <w:pPr>
              <w:rPr>
                <w:rFonts w:ascii="Arial" w:hAnsi="Arial" w:cs="Arial"/>
                <w:sz w:val="24"/>
                <w:szCs w:val="24"/>
              </w:rPr>
            </w:pPr>
            <w:r w:rsidRPr="00170373">
              <w:rPr>
                <w:rFonts w:ascii="Arial" w:hAnsi="Arial" w:cs="Arial"/>
                <w:sz w:val="24"/>
                <w:szCs w:val="24"/>
              </w:rPr>
              <w:t>RU</w:t>
            </w:r>
            <w:r>
              <w:rPr>
                <w:rFonts w:ascii="Arial" w:hAnsi="Arial" w:cs="Arial"/>
                <w:sz w:val="24"/>
                <w:szCs w:val="24"/>
              </w:rPr>
              <w:t>*</w:t>
            </w:r>
          </w:p>
        </w:tc>
        <w:tc>
          <w:tcPr>
            <w:tcW w:w="3117" w:type="dxa"/>
          </w:tcPr>
          <w:p w14:paraId="67BA488B" w14:textId="259492D8" w:rsidR="00170373" w:rsidRPr="00170373" w:rsidRDefault="00170373" w:rsidP="0059406E">
            <w:pPr>
              <w:rPr>
                <w:rFonts w:ascii="Arial" w:hAnsi="Arial" w:cs="Arial"/>
                <w:sz w:val="24"/>
                <w:szCs w:val="24"/>
              </w:rPr>
            </w:pPr>
            <w:r>
              <w:rPr>
                <w:rFonts w:ascii="Arial" w:hAnsi="Arial" w:cs="Arial"/>
                <w:sz w:val="24"/>
                <w:szCs w:val="24"/>
              </w:rPr>
              <w:t>48</w:t>
            </w:r>
          </w:p>
        </w:tc>
        <w:tc>
          <w:tcPr>
            <w:tcW w:w="3117" w:type="dxa"/>
          </w:tcPr>
          <w:p w14:paraId="707DDD9A" w14:textId="5021440D" w:rsidR="00170373" w:rsidRPr="00170373" w:rsidRDefault="00170373" w:rsidP="0059406E">
            <w:pPr>
              <w:rPr>
                <w:rFonts w:ascii="Arial" w:hAnsi="Arial" w:cs="Arial"/>
                <w:sz w:val="24"/>
                <w:szCs w:val="24"/>
              </w:rPr>
            </w:pPr>
            <w:r>
              <w:rPr>
                <w:rFonts w:ascii="Arial" w:hAnsi="Arial" w:cs="Arial"/>
                <w:sz w:val="24"/>
                <w:szCs w:val="24"/>
              </w:rPr>
              <w:t>12</w:t>
            </w:r>
          </w:p>
        </w:tc>
      </w:tr>
      <w:tr w:rsidR="00170373" w14:paraId="61C7F47D" w14:textId="77777777" w:rsidTr="00170373">
        <w:tc>
          <w:tcPr>
            <w:tcW w:w="3116" w:type="dxa"/>
          </w:tcPr>
          <w:p w14:paraId="70B773DD" w14:textId="35ADDF69" w:rsidR="00170373" w:rsidRPr="00170373" w:rsidRDefault="00170373" w:rsidP="0059406E">
            <w:pPr>
              <w:rPr>
                <w:rFonts w:ascii="Arial" w:hAnsi="Arial" w:cs="Arial"/>
                <w:sz w:val="24"/>
                <w:szCs w:val="24"/>
              </w:rPr>
            </w:pPr>
            <w:r>
              <w:rPr>
                <w:rFonts w:ascii="Arial" w:hAnsi="Arial" w:cs="Arial"/>
                <w:sz w:val="24"/>
                <w:szCs w:val="24"/>
              </w:rPr>
              <w:t>Felix Board</w:t>
            </w:r>
          </w:p>
        </w:tc>
        <w:tc>
          <w:tcPr>
            <w:tcW w:w="3117" w:type="dxa"/>
          </w:tcPr>
          <w:p w14:paraId="48E4DED2" w14:textId="6A608EB7" w:rsidR="00170373" w:rsidRPr="00170373" w:rsidRDefault="00170373" w:rsidP="0059406E">
            <w:pPr>
              <w:rPr>
                <w:rFonts w:ascii="Arial" w:hAnsi="Arial" w:cs="Arial"/>
                <w:sz w:val="24"/>
                <w:szCs w:val="24"/>
              </w:rPr>
            </w:pPr>
            <w:r>
              <w:rPr>
                <w:rFonts w:ascii="Arial" w:hAnsi="Arial" w:cs="Arial"/>
                <w:sz w:val="24"/>
                <w:szCs w:val="24"/>
              </w:rPr>
              <w:t>6</w:t>
            </w:r>
          </w:p>
        </w:tc>
        <w:tc>
          <w:tcPr>
            <w:tcW w:w="3117" w:type="dxa"/>
          </w:tcPr>
          <w:p w14:paraId="0F44E9BF" w14:textId="154FFEF0" w:rsidR="00170373" w:rsidRPr="00170373" w:rsidRDefault="00170373" w:rsidP="0059406E">
            <w:pPr>
              <w:rPr>
                <w:rFonts w:ascii="Arial" w:hAnsi="Arial" w:cs="Arial"/>
                <w:sz w:val="24"/>
                <w:szCs w:val="24"/>
              </w:rPr>
            </w:pPr>
            <w:r>
              <w:rPr>
                <w:rFonts w:ascii="Arial" w:hAnsi="Arial" w:cs="Arial"/>
                <w:sz w:val="24"/>
                <w:szCs w:val="24"/>
              </w:rPr>
              <w:t>2</w:t>
            </w:r>
          </w:p>
        </w:tc>
      </w:tr>
      <w:tr w:rsidR="00170373" w14:paraId="6129B984" w14:textId="77777777" w:rsidTr="00170373">
        <w:tc>
          <w:tcPr>
            <w:tcW w:w="3116" w:type="dxa"/>
          </w:tcPr>
          <w:p w14:paraId="4EFB50C7" w14:textId="66723C11" w:rsidR="00170373" w:rsidRPr="00170373" w:rsidRDefault="00170373" w:rsidP="0059406E">
            <w:pPr>
              <w:rPr>
                <w:rFonts w:ascii="Arial" w:hAnsi="Arial" w:cs="Arial"/>
                <w:sz w:val="24"/>
                <w:szCs w:val="24"/>
              </w:rPr>
            </w:pPr>
            <w:r>
              <w:rPr>
                <w:rFonts w:ascii="Arial" w:hAnsi="Arial" w:cs="Arial"/>
                <w:sz w:val="24"/>
                <w:szCs w:val="24"/>
              </w:rPr>
              <w:t>Staves*</w:t>
            </w:r>
          </w:p>
        </w:tc>
        <w:tc>
          <w:tcPr>
            <w:tcW w:w="3117" w:type="dxa"/>
          </w:tcPr>
          <w:p w14:paraId="1A56B551" w14:textId="38C4B2E4" w:rsidR="00170373" w:rsidRPr="00170373" w:rsidRDefault="00170373" w:rsidP="0059406E">
            <w:pPr>
              <w:rPr>
                <w:rFonts w:ascii="Arial" w:hAnsi="Arial" w:cs="Arial"/>
                <w:sz w:val="24"/>
                <w:szCs w:val="24"/>
              </w:rPr>
            </w:pPr>
            <w:r>
              <w:rPr>
                <w:rFonts w:ascii="Arial" w:hAnsi="Arial" w:cs="Arial"/>
                <w:sz w:val="24"/>
                <w:szCs w:val="24"/>
              </w:rPr>
              <w:t>48</w:t>
            </w:r>
          </w:p>
        </w:tc>
        <w:tc>
          <w:tcPr>
            <w:tcW w:w="3117" w:type="dxa"/>
          </w:tcPr>
          <w:p w14:paraId="0B76A1CC" w14:textId="0A654D8F" w:rsidR="00170373" w:rsidRPr="00170373" w:rsidRDefault="00170373" w:rsidP="0059406E">
            <w:pPr>
              <w:rPr>
                <w:rFonts w:ascii="Arial" w:hAnsi="Arial" w:cs="Arial"/>
                <w:sz w:val="24"/>
                <w:szCs w:val="24"/>
              </w:rPr>
            </w:pPr>
            <w:r>
              <w:rPr>
                <w:rFonts w:ascii="Arial" w:hAnsi="Arial" w:cs="Arial"/>
                <w:sz w:val="24"/>
                <w:szCs w:val="24"/>
              </w:rPr>
              <w:t>36</w:t>
            </w:r>
          </w:p>
        </w:tc>
      </w:tr>
      <w:tr w:rsidR="00170373" w14:paraId="4C70B996" w14:textId="77777777" w:rsidTr="00170373">
        <w:tc>
          <w:tcPr>
            <w:tcW w:w="3116" w:type="dxa"/>
          </w:tcPr>
          <w:p w14:paraId="18BEF5D1" w14:textId="416BDAA4" w:rsidR="00170373" w:rsidRPr="00170373" w:rsidRDefault="00170373" w:rsidP="0059406E">
            <w:pPr>
              <w:rPr>
                <w:rFonts w:ascii="Arial" w:hAnsi="Arial" w:cs="Arial"/>
                <w:sz w:val="24"/>
                <w:szCs w:val="24"/>
              </w:rPr>
            </w:pPr>
            <w:r>
              <w:rPr>
                <w:rFonts w:ascii="Arial" w:hAnsi="Arial" w:cs="Arial"/>
                <w:sz w:val="24"/>
                <w:szCs w:val="24"/>
              </w:rPr>
              <w:t>½ Barrel Assembly</w:t>
            </w:r>
          </w:p>
        </w:tc>
        <w:tc>
          <w:tcPr>
            <w:tcW w:w="3117" w:type="dxa"/>
          </w:tcPr>
          <w:p w14:paraId="70E905E0" w14:textId="61AFA064" w:rsidR="00170373" w:rsidRPr="00170373" w:rsidRDefault="00170373" w:rsidP="0059406E">
            <w:pPr>
              <w:rPr>
                <w:rFonts w:ascii="Arial" w:hAnsi="Arial" w:cs="Arial"/>
                <w:sz w:val="24"/>
                <w:szCs w:val="24"/>
              </w:rPr>
            </w:pPr>
            <w:r>
              <w:rPr>
                <w:rFonts w:ascii="Arial" w:hAnsi="Arial" w:cs="Arial"/>
                <w:sz w:val="24"/>
                <w:szCs w:val="24"/>
              </w:rPr>
              <w:t>2</w:t>
            </w:r>
          </w:p>
        </w:tc>
        <w:tc>
          <w:tcPr>
            <w:tcW w:w="3117" w:type="dxa"/>
          </w:tcPr>
          <w:p w14:paraId="36934FFF" w14:textId="29A8FBDD" w:rsidR="00170373" w:rsidRPr="00170373" w:rsidRDefault="00170373" w:rsidP="0059406E">
            <w:pPr>
              <w:rPr>
                <w:rFonts w:ascii="Arial" w:hAnsi="Arial" w:cs="Arial"/>
                <w:sz w:val="24"/>
                <w:szCs w:val="24"/>
              </w:rPr>
            </w:pPr>
            <w:r>
              <w:rPr>
                <w:rFonts w:ascii="Arial" w:hAnsi="Arial" w:cs="Arial"/>
                <w:sz w:val="24"/>
                <w:szCs w:val="24"/>
              </w:rPr>
              <w:t>0</w:t>
            </w:r>
          </w:p>
        </w:tc>
      </w:tr>
      <w:tr w:rsidR="00170373" w14:paraId="185AEE98" w14:textId="77777777" w:rsidTr="00170373">
        <w:tc>
          <w:tcPr>
            <w:tcW w:w="3116" w:type="dxa"/>
          </w:tcPr>
          <w:p w14:paraId="1B8C8211" w14:textId="10E6B0A9" w:rsidR="00170373" w:rsidRPr="00170373" w:rsidRDefault="00170373" w:rsidP="0059406E">
            <w:pPr>
              <w:rPr>
                <w:rFonts w:ascii="Arial" w:hAnsi="Arial" w:cs="Arial"/>
                <w:sz w:val="24"/>
                <w:szCs w:val="24"/>
              </w:rPr>
            </w:pPr>
            <w:r>
              <w:rPr>
                <w:rFonts w:ascii="Arial" w:hAnsi="Arial" w:cs="Arial"/>
                <w:sz w:val="24"/>
                <w:szCs w:val="24"/>
              </w:rPr>
              <w:t>Power Supply</w:t>
            </w:r>
          </w:p>
        </w:tc>
        <w:tc>
          <w:tcPr>
            <w:tcW w:w="3117" w:type="dxa"/>
          </w:tcPr>
          <w:p w14:paraId="78668018" w14:textId="7D13FF8F" w:rsidR="00170373" w:rsidRPr="00170373" w:rsidRDefault="00170373" w:rsidP="0059406E">
            <w:pPr>
              <w:rPr>
                <w:rFonts w:ascii="Arial" w:hAnsi="Arial" w:cs="Arial"/>
                <w:sz w:val="24"/>
                <w:szCs w:val="24"/>
              </w:rPr>
            </w:pPr>
            <w:r>
              <w:rPr>
                <w:rFonts w:ascii="Arial" w:hAnsi="Arial" w:cs="Arial"/>
                <w:sz w:val="24"/>
                <w:szCs w:val="24"/>
              </w:rPr>
              <w:t>1</w:t>
            </w:r>
          </w:p>
        </w:tc>
        <w:tc>
          <w:tcPr>
            <w:tcW w:w="3117" w:type="dxa"/>
          </w:tcPr>
          <w:p w14:paraId="0F4D0239" w14:textId="03400BB0" w:rsidR="00170373" w:rsidRPr="00170373" w:rsidRDefault="00170373" w:rsidP="0059406E">
            <w:pPr>
              <w:rPr>
                <w:rFonts w:ascii="Arial" w:hAnsi="Arial" w:cs="Arial"/>
                <w:sz w:val="24"/>
                <w:szCs w:val="24"/>
              </w:rPr>
            </w:pPr>
            <w:r>
              <w:rPr>
                <w:rFonts w:ascii="Arial" w:hAnsi="Arial" w:cs="Arial"/>
                <w:sz w:val="24"/>
                <w:szCs w:val="24"/>
              </w:rPr>
              <w:t>0</w:t>
            </w:r>
          </w:p>
        </w:tc>
      </w:tr>
      <w:tr w:rsidR="00170373" w14:paraId="516B06B5" w14:textId="77777777" w:rsidTr="00170373">
        <w:tc>
          <w:tcPr>
            <w:tcW w:w="3116" w:type="dxa"/>
          </w:tcPr>
          <w:p w14:paraId="7380054C" w14:textId="1B02B343" w:rsidR="00170373" w:rsidRPr="00170373" w:rsidRDefault="00170373" w:rsidP="0059406E">
            <w:pPr>
              <w:rPr>
                <w:rFonts w:ascii="Arial" w:hAnsi="Arial" w:cs="Arial"/>
                <w:sz w:val="24"/>
                <w:szCs w:val="24"/>
              </w:rPr>
            </w:pPr>
            <w:r>
              <w:rPr>
                <w:rFonts w:ascii="Arial" w:hAnsi="Arial" w:cs="Arial"/>
                <w:sz w:val="24"/>
                <w:szCs w:val="24"/>
              </w:rPr>
              <w:t>Service Barrel</w:t>
            </w:r>
          </w:p>
        </w:tc>
        <w:tc>
          <w:tcPr>
            <w:tcW w:w="3117" w:type="dxa"/>
          </w:tcPr>
          <w:p w14:paraId="11582AC6" w14:textId="51A3BF0C" w:rsidR="00170373" w:rsidRPr="00170373" w:rsidRDefault="00170373" w:rsidP="0059406E">
            <w:pPr>
              <w:rPr>
                <w:rFonts w:ascii="Arial" w:hAnsi="Arial" w:cs="Arial"/>
                <w:sz w:val="24"/>
                <w:szCs w:val="24"/>
              </w:rPr>
            </w:pPr>
            <w:r>
              <w:rPr>
                <w:rFonts w:ascii="Arial" w:hAnsi="Arial" w:cs="Arial"/>
                <w:sz w:val="24"/>
                <w:szCs w:val="24"/>
              </w:rPr>
              <w:t>1</w:t>
            </w:r>
          </w:p>
        </w:tc>
        <w:tc>
          <w:tcPr>
            <w:tcW w:w="3117" w:type="dxa"/>
          </w:tcPr>
          <w:p w14:paraId="7E6DB2A3" w14:textId="500833AB" w:rsidR="00170373" w:rsidRPr="00170373" w:rsidRDefault="00170373" w:rsidP="0059406E">
            <w:pPr>
              <w:rPr>
                <w:rFonts w:ascii="Arial" w:hAnsi="Arial" w:cs="Arial"/>
                <w:sz w:val="24"/>
                <w:szCs w:val="24"/>
              </w:rPr>
            </w:pPr>
            <w:r>
              <w:rPr>
                <w:rFonts w:ascii="Arial" w:hAnsi="Arial" w:cs="Arial"/>
                <w:sz w:val="24"/>
                <w:szCs w:val="24"/>
              </w:rPr>
              <w:t>0</w:t>
            </w:r>
          </w:p>
        </w:tc>
      </w:tr>
    </w:tbl>
    <w:p w14:paraId="05504CA2" w14:textId="47774CEA" w:rsidR="00170373" w:rsidRDefault="00170373" w:rsidP="0059406E">
      <w:pPr>
        <w:rPr>
          <w:rFonts w:ascii="Arial" w:hAnsi="Arial" w:cs="Arial"/>
          <w:b/>
          <w:bCs/>
          <w:sz w:val="24"/>
          <w:szCs w:val="24"/>
        </w:rPr>
      </w:pPr>
    </w:p>
    <w:p w14:paraId="46CE86B2" w14:textId="2BB9E504" w:rsidR="00170373" w:rsidRDefault="00170373" w:rsidP="00170373">
      <w:pPr>
        <w:rPr>
          <w:rFonts w:ascii="Arial" w:hAnsi="Arial" w:cs="Arial"/>
          <w:sz w:val="24"/>
          <w:szCs w:val="24"/>
        </w:rPr>
      </w:pPr>
      <w:r>
        <w:rPr>
          <w:rFonts w:ascii="Arial" w:hAnsi="Arial" w:cs="Arial"/>
          <w:b/>
          <w:bCs/>
          <w:sz w:val="24"/>
          <w:szCs w:val="24"/>
        </w:rPr>
        <w:t>*</w:t>
      </w:r>
      <w:r>
        <w:rPr>
          <w:rFonts w:ascii="Arial" w:hAnsi="Arial" w:cs="Arial"/>
          <w:sz w:val="24"/>
          <w:szCs w:val="24"/>
        </w:rPr>
        <w:t>The RU and Staves are not part of the cost of MVTX project but are still a deliverable.</w:t>
      </w:r>
      <w:r w:rsidR="00A22234">
        <w:rPr>
          <w:rFonts w:ascii="Arial" w:hAnsi="Arial" w:cs="Arial"/>
          <w:sz w:val="24"/>
          <w:szCs w:val="24"/>
        </w:rPr>
        <w:t xml:space="preserve"> </w:t>
      </w:r>
    </w:p>
    <w:p w14:paraId="6893521E" w14:textId="0F6BABCF" w:rsidR="0059406E" w:rsidRPr="003805A9" w:rsidRDefault="00A22234" w:rsidP="0059406E">
      <w:pPr>
        <w:rPr>
          <w:rFonts w:ascii="Arial" w:hAnsi="Arial" w:cs="Arial"/>
          <w:sz w:val="24"/>
          <w:szCs w:val="24"/>
        </w:rPr>
      </w:pPr>
      <w:r>
        <w:rPr>
          <w:rFonts w:ascii="Arial" w:hAnsi="Arial" w:cs="Arial"/>
          <w:sz w:val="24"/>
          <w:szCs w:val="24"/>
        </w:rPr>
        <w:t xml:space="preserve">The Large number of stave spares allows the construction of a </w:t>
      </w:r>
      <w:proofErr w:type="gramStart"/>
      <w:r>
        <w:rPr>
          <w:rFonts w:ascii="Arial" w:hAnsi="Arial" w:cs="Arial"/>
          <w:sz w:val="24"/>
          <w:szCs w:val="24"/>
        </w:rPr>
        <w:t>two layer</w:t>
      </w:r>
      <w:proofErr w:type="gramEnd"/>
      <w:r>
        <w:rPr>
          <w:rFonts w:ascii="Arial" w:hAnsi="Arial" w:cs="Arial"/>
          <w:sz w:val="24"/>
          <w:szCs w:val="24"/>
        </w:rPr>
        <w:t xml:space="preserve"> barrel detector should the three layer detector suffer a catastrophic failure.</w:t>
      </w:r>
    </w:p>
    <w:p w14:paraId="0E991C2F" w14:textId="77777777" w:rsidR="002275A9" w:rsidRDefault="002275A9" w:rsidP="00DD63A2">
      <w:pPr>
        <w:rPr>
          <w:rFonts w:ascii="Arial" w:hAnsi="Arial" w:cs="Arial"/>
          <w:b/>
          <w:sz w:val="24"/>
          <w:szCs w:val="24"/>
        </w:rPr>
      </w:pPr>
      <w:bookmarkStart w:id="6" w:name="_Toc363737433"/>
    </w:p>
    <w:p w14:paraId="76C2419B" w14:textId="6FDD0F19" w:rsidR="0059406E" w:rsidRPr="003805A9" w:rsidRDefault="00DD63A2" w:rsidP="00DD63A2">
      <w:pPr>
        <w:rPr>
          <w:rFonts w:ascii="Arial" w:hAnsi="Arial" w:cs="Arial"/>
          <w:b/>
          <w:sz w:val="24"/>
          <w:szCs w:val="24"/>
        </w:rPr>
      </w:pPr>
      <w:r w:rsidRPr="003805A9">
        <w:rPr>
          <w:rFonts w:ascii="Arial" w:hAnsi="Arial" w:cs="Arial"/>
          <w:b/>
          <w:sz w:val="24"/>
          <w:szCs w:val="24"/>
        </w:rPr>
        <w:t>2.3</w:t>
      </w:r>
      <w:r w:rsidR="0059406E" w:rsidRPr="003805A9">
        <w:rPr>
          <w:rFonts w:ascii="Arial" w:hAnsi="Arial" w:cs="Arial"/>
          <w:b/>
          <w:sz w:val="24"/>
          <w:szCs w:val="24"/>
        </w:rPr>
        <w:t xml:space="preserve"> TECHNICAL SCOPE</w:t>
      </w:r>
      <w:bookmarkEnd w:id="6"/>
    </w:p>
    <w:p w14:paraId="155BC90D" w14:textId="77777777" w:rsidR="0059406E" w:rsidRPr="003805A9" w:rsidRDefault="0059406E" w:rsidP="0059406E">
      <w:pPr>
        <w:autoSpaceDE w:val="0"/>
        <w:autoSpaceDN w:val="0"/>
        <w:adjustRightInd w:val="0"/>
        <w:rPr>
          <w:rFonts w:ascii="Arial" w:hAnsi="Arial" w:cs="Arial"/>
          <w:sz w:val="24"/>
          <w:szCs w:val="24"/>
        </w:rPr>
      </w:pPr>
    </w:p>
    <w:p w14:paraId="7D3CC75E" w14:textId="77777777" w:rsidR="0059406E" w:rsidRPr="003805A9" w:rsidRDefault="0059406E" w:rsidP="0059406E">
      <w:pPr>
        <w:pStyle w:val="Caption"/>
        <w:rPr>
          <w:rFonts w:ascii="Arial" w:hAnsi="Arial" w:cs="Arial"/>
          <w:b w:val="0"/>
          <w:sz w:val="24"/>
          <w:szCs w:val="24"/>
        </w:rPr>
      </w:pPr>
      <w:r w:rsidRPr="003805A9">
        <w:rPr>
          <w:rFonts w:ascii="Arial" w:hAnsi="Arial" w:cs="Arial"/>
          <w:b w:val="0"/>
          <w:sz w:val="24"/>
          <w:szCs w:val="24"/>
        </w:rPr>
        <w:t xml:space="preserve">The sPHENIX MVTX project is divided into three major subsystem groups: (a) ALPIDE chip, High Density Interconnect (HDI) and cooling plate, collectively termed the </w:t>
      </w:r>
      <w:proofErr w:type="spellStart"/>
      <w:proofErr w:type="gramStart"/>
      <w:r w:rsidRPr="003805A9">
        <w:rPr>
          <w:rFonts w:ascii="Arial" w:hAnsi="Arial" w:cs="Arial"/>
          <w:b w:val="0"/>
          <w:sz w:val="24"/>
          <w:szCs w:val="24"/>
        </w:rPr>
        <w:t>stave</w:t>
      </w:r>
      <w:proofErr w:type="spellEnd"/>
      <w:r w:rsidRPr="003805A9">
        <w:rPr>
          <w:rFonts w:ascii="Arial" w:hAnsi="Arial" w:cs="Arial"/>
          <w:b w:val="0"/>
          <w:sz w:val="24"/>
          <w:szCs w:val="24"/>
        </w:rPr>
        <w:t xml:space="preserve">  assembly</w:t>
      </w:r>
      <w:proofErr w:type="gramEnd"/>
      <w:r w:rsidRPr="003805A9">
        <w:rPr>
          <w:rFonts w:ascii="Arial" w:hAnsi="Arial" w:cs="Arial"/>
          <w:b w:val="0"/>
          <w:sz w:val="24"/>
          <w:szCs w:val="24"/>
        </w:rPr>
        <w:t>, (b) DAQ electronics, and (c) mechanical and infrastructure. A summary of the design parameters of the MVTX is given in Table 2.</w:t>
      </w:r>
      <w:bookmarkStart w:id="7" w:name="_Ref134177533"/>
      <w:bookmarkStart w:id="8" w:name="_Toc134180096"/>
      <w:bookmarkStart w:id="9" w:name="_Ref170617120"/>
    </w:p>
    <w:p w14:paraId="1FB96493" w14:textId="176C5447" w:rsidR="0059406E" w:rsidRPr="003805A9" w:rsidRDefault="0059406E" w:rsidP="0059406E">
      <w:pPr>
        <w:pStyle w:val="Caption"/>
        <w:rPr>
          <w:rFonts w:ascii="Arial" w:hAnsi="Arial" w:cs="Arial"/>
          <w:sz w:val="24"/>
          <w:szCs w:val="24"/>
        </w:rPr>
      </w:pPr>
      <w:bookmarkStart w:id="10" w:name="_Toc494889017"/>
      <w:r w:rsidRPr="003805A9">
        <w:rPr>
          <w:rFonts w:ascii="Arial" w:hAnsi="Arial" w:cs="Arial"/>
          <w:sz w:val="24"/>
          <w:szCs w:val="24"/>
        </w:rPr>
        <w:t xml:space="preserve">Table </w:t>
      </w:r>
      <w:bookmarkEnd w:id="7"/>
      <w:r w:rsidR="008C051F">
        <w:rPr>
          <w:rFonts w:ascii="Arial" w:hAnsi="Arial" w:cs="Arial"/>
          <w:sz w:val="24"/>
          <w:szCs w:val="24"/>
        </w:rPr>
        <w:t>3</w:t>
      </w:r>
      <w:r w:rsidRPr="003805A9">
        <w:rPr>
          <w:rFonts w:ascii="Arial" w:hAnsi="Arial" w:cs="Arial"/>
          <w:sz w:val="24"/>
          <w:szCs w:val="24"/>
        </w:rPr>
        <w:t xml:space="preserve"> Summary of main design parameters of </w:t>
      </w:r>
      <w:bookmarkEnd w:id="8"/>
      <w:r w:rsidRPr="003805A9">
        <w:rPr>
          <w:rFonts w:ascii="Arial" w:hAnsi="Arial" w:cs="Arial"/>
          <w:sz w:val="24"/>
          <w:szCs w:val="24"/>
        </w:rPr>
        <w:t>each MVTX</w:t>
      </w:r>
      <w:bookmarkEnd w:id="9"/>
      <w:bookmarkEnd w:id="10"/>
    </w:p>
    <w:p w14:paraId="265425F5" w14:textId="77777777" w:rsidR="0059406E" w:rsidRPr="003805A9" w:rsidRDefault="0059406E" w:rsidP="0059406E">
      <w:pPr>
        <w:autoSpaceDE w:val="0"/>
        <w:autoSpaceDN w:val="0"/>
        <w:adjustRightInd w:val="0"/>
        <w:jc w:val="both"/>
        <w:rPr>
          <w:rFonts w:ascii="Arial" w:hAnsi="Arial" w:cs="Arial"/>
          <w:b/>
          <w:bCs/>
          <w:sz w:val="24"/>
          <w:szCs w:val="24"/>
        </w:rPr>
      </w:pPr>
    </w:p>
    <w:tbl>
      <w:tblPr>
        <w:tblW w:w="0" w:type="auto"/>
        <w:tblInd w:w="1920" w:type="dxa"/>
        <w:tblLayout w:type="fixed"/>
        <w:tblCellMar>
          <w:left w:w="0" w:type="dxa"/>
          <w:right w:w="0" w:type="dxa"/>
        </w:tblCellMar>
        <w:tblLook w:val="04A0" w:firstRow="1" w:lastRow="0" w:firstColumn="1" w:lastColumn="0" w:noHBand="0" w:noVBand="1"/>
      </w:tblPr>
      <w:tblGrid>
        <w:gridCol w:w="2780"/>
        <w:gridCol w:w="900"/>
        <w:gridCol w:w="920"/>
        <w:gridCol w:w="920"/>
      </w:tblGrid>
      <w:tr w:rsidR="0059406E" w:rsidRPr="003805A9" w14:paraId="6D11767D" w14:textId="77777777" w:rsidTr="00BB5B0D">
        <w:trPr>
          <w:trHeight w:val="260"/>
        </w:trPr>
        <w:tc>
          <w:tcPr>
            <w:tcW w:w="2780" w:type="dxa"/>
            <w:vAlign w:val="bottom"/>
          </w:tcPr>
          <w:p w14:paraId="0540F795" w14:textId="77777777" w:rsidR="0059406E" w:rsidRPr="003805A9" w:rsidRDefault="0059406E" w:rsidP="00BB5B0D">
            <w:pPr>
              <w:rPr>
                <w:rFonts w:ascii="Arial" w:hAnsi="Arial" w:cs="Arial"/>
                <w:sz w:val="24"/>
                <w:szCs w:val="24"/>
              </w:rPr>
            </w:pPr>
          </w:p>
        </w:tc>
        <w:tc>
          <w:tcPr>
            <w:tcW w:w="900" w:type="dxa"/>
            <w:vAlign w:val="bottom"/>
          </w:tcPr>
          <w:p w14:paraId="2866BEDC" w14:textId="77777777" w:rsidR="0059406E" w:rsidRPr="003805A9" w:rsidRDefault="0059406E" w:rsidP="00BB5B0D">
            <w:pPr>
              <w:ind w:left="120"/>
              <w:rPr>
                <w:rFonts w:ascii="Arial" w:hAnsi="Arial" w:cs="Arial"/>
                <w:sz w:val="24"/>
                <w:szCs w:val="24"/>
              </w:rPr>
            </w:pPr>
            <w:r w:rsidRPr="003805A9">
              <w:rPr>
                <w:rFonts w:ascii="Arial" w:eastAsia="Arial" w:hAnsi="Arial" w:cs="Arial"/>
                <w:sz w:val="24"/>
                <w:szCs w:val="24"/>
              </w:rPr>
              <w:t>Layer 0</w:t>
            </w:r>
          </w:p>
        </w:tc>
        <w:tc>
          <w:tcPr>
            <w:tcW w:w="920" w:type="dxa"/>
            <w:vAlign w:val="bottom"/>
          </w:tcPr>
          <w:p w14:paraId="08B4CC73" w14:textId="77777777" w:rsidR="0059406E" w:rsidRPr="003805A9" w:rsidRDefault="0059406E" w:rsidP="00BB5B0D">
            <w:pPr>
              <w:ind w:left="120"/>
              <w:rPr>
                <w:rFonts w:ascii="Arial" w:hAnsi="Arial" w:cs="Arial"/>
                <w:sz w:val="24"/>
                <w:szCs w:val="24"/>
              </w:rPr>
            </w:pPr>
            <w:r w:rsidRPr="003805A9">
              <w:rPr>
                <w:rFonts w:ascii="Arial" w:eastAsia="Arial" w:hAnsi="Arial" w:cs="Arial"/>
                <w:sz w:val="24"/>
                <w:szCs w:val="24"/>
              </w:rPr>
              <w:t>Layer 1</w:t>
            </w:r>
          </w:p>
        </w:tc>
        <w:tc>
          <w:tcPr>
            <w:tcW w:w="920" w:type="dxa"/>
            <w:vAlign w:val="bottom"/>
          </w:tcPr>
          <w:p w14:paraId="1B14190B" w14:textId="77777777" w:rsidR="0059406E" w:rsidRPr="003805A9" w:rsidRDefault="0059406E" w:rsidP="00BB5B0D">
            <w:pPr>
              <w:ind w:left="120"/>
              <w:rPr>
                <w:rFonts w:ascii="Arial" w:hAnsi="Arial" w:cs="Arial"/>
                <w:sz w:val="24"/>
                <w:szCs w:val="24"/>
              </w:rPr>
            </w:pPr>
            <w:r w:rsidRPr="003805A9">
              <w:rPr>
                <w:rFonts w:ascii="Arial" w:eastAsia="Arial" w:hAnsi="Arial" w:cs="Arial"/>
                <w:sz w:val="24"/>
                <w:szCs w:val="24"/>
              </w:rPr>
              <w:t>Layer 2</w:t>
            </w:r>
          </w:p>
        </w:tc>
      </w:tr>
      <w:tr w:rsidR="0059406E" w:rsidRPr="003805A9" w14:paraId="38E85E38" w14:textId="77777777" w:rsidTr="00BB5B0D">
        <w:trPr>
          <w:trHeight w:val="59"/>
        </w:trPr>
        <w:tc>
          <w:tcPr>
            <w:tcW w:w="2780" w:type="dxa"/>
            <w:tcBorders>
              <w:bottom w:val="single" w:sz="8" w:space="0" w:color="auto"/>
            </w:tcBorders>
            <w:vAlign w:val="bottom"/>
          </w:tcPr>
          <w:p w14:paraId="51FB7BCA" w14:textId="77777777" w:rsidR="0059406E" w:rsidRPr="003805A9" w:rsidRDefault="0059406E" w:rsidP="00BB5B0D">
            <w:pPr>
              <w:rPr>
                <w:rFonts w:ascii="Arial" w:hAnsi="Arial" w:cs="Arial"/>
                <w:sz w:val="24"/>
                <w:szCs w:val="24"/>
              </w:rPr>
            </w:pPr>
          </w:p>
        </w:tc>
        <w:tc>
          <w:tcPr>
            <w:tcW w:w="900" w:type="dxa"/>
            <w:tcBorders>
              <w:bottom w:val="single" w:sz="8" w:space="0" w:color="auto"/>
            </w:tcBorders>
            <w:vAlign w:val="bottom"/>
          </w:tcPr>
          <w:p w14:paraId="37C8E141" w14:textId="77777777" w:rsidR="0059406E" w:rsidRPr="003805A9" w:rsidRDefault="0059406E" w:rsidP="00BB5B0D">
            <w:pPr>
              <w:rPr>
                <w:rFonts w:ascii="Arial" w:hAnsi="Arial" w:cs="Arial"/>
                <w:sz w:val="24"/>
                <w:szCs w:val="24"/>
              </w:rPr>
            </w:pPr>
          </w:p>
        </w:tc>
        <w:tc>
          <w:tcPr>
            <w:tcW w:w="920" w:type="dxa"/>
            <w:tcBorders>
              <w:bottom w:val="single" w:sz="8" w:space="0" w:color="auto"/>
            </w:tcBorders>
            <w:vAlign w:val="bottom"/>
          </w:tcPr>
          <w:p w14:paraId="30765188" w14:textId="77777777" w:rsidR="0059406E" w:rsidRPr="003805A9" w:rsidRDefault="0059406E" w:rsidP="00BB5B0D">
            <w:pPr>
              <w:rPr>
                <w:rFonts w:ascii="Arial" w:hAnsi="Arial" w:cs="Arial"/>
                <w:sz w:val="24"/>
                <w:szCs w:val="24"/>
              </w:rPr>
            </w:pPr>
          </w:p>
        </w:tc>
        <w:tc>
          <w:tcPr>
            <w:tcW w:w="920" w:type="dxa"/>
            <w:tcBorders>
              <w:bottom w:val="single" w:sz="8" w:space="0" w:color="auto"/>
            </w:tcBorders>
            <w:vAlign w:val="bottom"/>
          </w:tcPr>
          <w:p w14:paraId="46229CDB" w14:textId="77777777" w:rsidR="0059406E" w:rsidRPr="003805A9" w:rsidRDefault="0059406E" w:rsidP="00BB5B0D">
            <w:pPr>
              <w:rPr>
                <w:rFonts w:ascii="Arial" w:hAnsi="Arial" w:cs="Arial"/>
                <w:sz w:val="24"/>
                <w:szCs w:val="24"/>
              </w:rPr>
            </w:pPr>
          </w:p>
        </w:tc>
      </w:tr>
      <w:tr w:rsidR="0059406E" w:rsidRPr="003805A9" w14:paraId="36546EDE" w14:textId="77777777" w:rsidTr="00BB5B0D">
        <w:trPr>
          <w:trHeight w:val="302"/>
        </w:trPr>
        <w:tc>
          <w:tcPr>
            <w:tcW w:w="2780" w:type="dxa"/>
            <w:vAlign w:val="bottom"/>
          </w:tcPr>
          <w:p w14:paraId="457349F5" w14:textId="77777777" w:rsidR="0059406E" w:rsidRPr="003805A9" w:rsidRDefault="0059406E" w:rsidP="00BB5B0D">
            <w:pPr>
              <w:ind w:left="120"/>
              <w:rPr>
                <w:rFonts w:ascii="Arial" w:hAnsi="Arial" w:cs="Arial"/>
                <w:sz w:val="24"/>
                <w:szCs w:val="24"/>
              </w:rPr>
            </w:pPr>
            <w:r w:rsidRPr="003805A9">
              <w:rPr>
                <w:rFonts w:ascii="Arial" w:eastAsia="Arial" w:hAnsi="Arial" w:cs="Arial"/>
                <w:w w:val="99"/>
                <w:sz w:val="24"/>
                <w:szCs w:val="24"/>
              </w:rPr>
              <w:t>Radial position (min.) (mm)</w:t>
            </w:r>
          </w:p>
        </w:tc>
        <w:tc>
          <w:tcPr>
            <w:tcW w:w="900" w:type="dxa"/>
            <w:vAlign w:val="bottom"/>
          </w:tcPr>
          <w:p w14:paraId="72E91E02" w14:textId="77777777" w:rsidR="0059406E" w:rsidRPr="003805A9" w:rsidRDefault="0059406E" w:rsidP="00BB5B0D">
            <w:pPr>
              <w:jc w:val="center"/>
              <w:rPr>
                <w:rFonts w:ascii="Arial" w:hAnsi="Arial" w:cs="Arial"/>
                <w:sz w:val="24"/>
                <w:szCs w:val="24"/>
              </w:rPr>
            </w:pPr>
            <w:r w:rsidRPr="003805A9">
              <w:rPr>
                <w:rFonts w:ascii="Arial" w:eastAsia="Arial" w:hAnsi="Arial" w:cs="Arial"/>
                <w:w w:val="88"/>
                <w:sz w:val="24"/>
                <w:szCs w:val="24"/>
              </w:rPr>
              <w:t>22.4</w:t>
            </w:r>
          </w:p>
        </w:tc>
        <w:tc>
          <w:tcPr>
            <w:tcW w:w="920" w:type="dxa"/>
            <w:vAlign w:val="bottom"/>
          </w:tcPr>
          <w:p w14:paraId="7431230B" w14:textId="77777777" w:rsidR="0059406E" w:rsidRPr="003805A9" w:rsidRDefault="0059406E" w:rsidP="00BB5B0D">
            <w:pPr>
              <w:jc w:val="center"/>
              <w:rPr>
                <w:rFonts w:ascii="Arial" w:hAnsi="Arial" w:cs="Arial"/>
                <w:sz w:val="24"/>
                <w:szCs w:val="24"/>
              </w:rPr>
            </w:pPr>
            <w:r w:rsidRPr="003805A9">
              <w:rPr>
                <w:rFonts w:ascii="Arial" w:eastAsia="Arial" w:hAnsi="Arial" w:cs="Arial"/>
                <w:w w:val="88"/>
                <w:sz w:val="24"/>
                <w:szCs w:val="24"/>
              </w:rPr>
              <w:t>30.1</w:t>
            </w:r>
          </w:p>
        </w:tc>
        <w:tc>
          <w:tcPr>
            <w:tcW w:w="920" w:type="dxa"/>
            <w:vAlign w:val="bottom"/>
          </w:tcPr>
          <w:p w14:paraId="1C1A41A1" w14:textId="77777777" w:rsidR="0059406E" w:rsidRPr="003805A9" w:rsidRDefault="0059406E" w:rsidP="00BB5B0D">
            <w:pPr>
              <w:jc w:val="center"/>
              <w:rPr>
                <w:rFonts w:ascii="Arial" w:hAnsi="Arial" w:cs="Arial"/>
                <w:sz w:val="24"/>
                <w:szCs w:val="24"/>
              </w:rPr>
            </w:pPr>
            <w:r w:rsidRPr="003805A9">
              <w:rPr>
                <w:rFonts w:ascii="Arial" w:eastAsia="Arial" w:hAnsi="Arial" w:cs="Arial"/>
                <w:w w:val="88"/>
                <w:sz w:val="24"/>
                <w:szCs w:val="24"/>
              </w:rPr>
              <w:t>37.8</w:t>
            </w:r>
          </w:p>
        </w:tc>
      </w:tr>
      <w:tr w:rsidR="0059406E" w:rsidRPr="003805A9" w14:paraId="40309C4B" w14:textId="77777777" w:rsidTr="00BB5B0D">
        <w:trPr>
          <w:trHeight w:val="271"/>
        </w:trPr>
        <w:tc>
          <w:tcPr>
            <w:tcW w:w="2780" w:type="dxa"/>
            <w:vAlign w:val="bottom"/>
          </w:tcPr>
          <w:p w14:paraId="602E0906" w14:textId="77777777" w:rsidR="0059406E" w:rsidRPr="003805A9" w:rsidRDefault="0059406E" w:rsidP="00BB5B0D">
            <w:pPr>
              <w:ind w:left="120"/>
              <w:rPr>
                <w:rFonts w:ascii="Arial" w:hAnsi="Arial" w:cs="Arial"/>
                <w:sz w:val="24"/>
                <w:szCs w:val="24"/>
              </w:rPr>
            </w:pPr>
            <w:r w:rsidRPr="003805A9">
              <w:rPr>
                <w:rFonts w:ascii="Arial" w:eastAsia="Arial" w:hAnsi="Arial" w:cs="Arial"/>
                <w:w w:val="97"/>
                <w:sz w:val="24"/>
                <w:szCs w:val="24"/>
              </w:rPr>
              <w:t>Radial position (max.) (mm)</w:t>
            </w:r>
          </w:p>
        </w:tc>
        <w:tc>
          <w:tcPr>
            <w:tcW w:w="900" w:type="dxa"/>
            <w:vAlign w:val="bottom"/>
          </w:tcPr>
          <w:p w14:paraId="611D04DE" w14:textId="77777777" w:rsidR="0059406E" w:rsidRPr="003805A9" w:rsidRDefault="0059406E" w:rsidP="00BB5B0D">
            <w:pPr>
              <w:jc w:val="center"/>
              <w:rPr>
                <w:rFonts w:ascii="Arial" w:hAnsi="Arial" w:cs="Arial"/>
                <w:sz w:val="24"/>
                <w:szCs w:val="24"/>
              </w:rPr>
            </w:pPr>
            <w:r w:rsidRPr="003805A9">
              <w:rPr>
                <w:rFonts w:ascii="Arial" w:eastAsia="Arial" w:hAnsi="Arial" w:cs="Arial"/>
                <w:w w:val="88"/>
                <w:sz w:val="24"/>
                <w:szCs w:val="24"/>
              </w:rPr>
              <w:t>26.7</w:t>
            </w:r>
          </w:p>
        </w:tc>
        <w:tc>
          <w:tcPr>
            <w:tcW w:w="920" w:type="dxa"/>
            <w:vAlign w:val="bottom"/>
          </w:tcPr>
          <w:p w14:paraId="3150A2C0" w14:textId="77777777" w:rsidR="0059406E" w:rsidRPr="003805A9" w:rsidRDefault="0059406E" w:rsidP="00BB5B0D">
            <w:pPr>
              <w:jc w:val="center"/>
              <w:rPr>
                <w:rFonts w:ascii="Arial" w:hAnsi="Arial" w:cs="Arial"/>
                <w:sz w:val="24"/>
                <w:szCs w:val="24"/>
              </w:rPr>
            </w:pPr>
            <w:r w:rsidRPr="003805A9">
              <w:rPr>
                <w:rFonts w:ascii="Arial" w:eastAsia="Arial" w:hAnsi="Arial" w:cs="Arial"/>
                <w:w w:val="88"/>
                <w:sz w:val="24"/>
                <w:szCs w:val="24"/>
              </w:rPr>
              <w:t>34.6</w:t>
            </w:r>
          </w:p>
        </w:tc>
        <w:tc>
          <w:tcPr>
            <w:tcW w:w="920" w:type="dxa"/>
            <w:vAlign w:val="bottom"/>
          </w:tcPr>
          <w:p w14:paraId="7D805B04" w14:textId="77777777" w:rsidR="0059406E" w:rsidRPr="003805A9" w:rsidRDefault="0059406E" w:rsidP="00BB5B0D">
            <w:pPr>
              <w:jc w:val="center"/>
              <w:rPr>
                <w:rFonts w:ascii="Arial" w:hAnsi="Arial" w:cs="Arial"/>
                <w:sz w:val="24"/>
                <w:szCs w:val="24"/>
              </w:rPr>
            </w:pPr>
            <w:r w:rsidRPr="003805A9">
              <w:rPr>
                <w:rFonts w:ascii="Arial" w:eastAsia="Arial" w:hAnsi="Arial" w:cs="Arial"/>
                <w:w w:val="88"/>
                <w:sz w:val="24"/>
                <w:szCs w:val="24"/>
              </w:rPr>
              <w:t>42.1</w:t>
            </w:r>
          </w:p>
        </w:tc>
      </w:tr>
      <w:tr w:rsidR="0059406E" w:rsidRPr="003805A9" w14:paraId="33CC07B6" w14:textId="77777777" w:rsidTr="00BB5B0D">
        <w:trPr>
          <w:trHeight w:val="257"/>
        </w:trPr>
        <w:tc>
          <w:tcPr>
            <w:tcW w:w="2780" w:type="dxa"/>
            <w:vAlign w:val="bottom"/>
          </w:tcPr>
          <w:p w14:paraId="23E8BC32" w14:textId="77777777" w:rsidR="0059406E" w:rsidRPr="003805A9" w:rsidRDefault="0059406E" w:rsidP="00BB5B0D">
            <w:pPr>
              <w:ind w:left="120"/>
              <w:rPr>
                <w:rFonts w:ascii="Arial" w:hAnsi="Arial" w:cs="Arial"/>
                <w:sz w:val="24"/>
                <w:szCs w:val="24"/>
              </w:rPr>
            </w:pPr>
            <w:r w:rsidRPr="003805A9">
              <w:rPr>
                <w:rFonts w:ascii="Arial" w:eastAsia="Arial" w:hAnsi="Arial" w:cs="Arial"/>
                <w:w w:val="93"/>
                <w:sz w:val="24"/>
                <w:szCs w:val="24"/>
              </w:rPr>
              <w:t>Length (sensitive area) (mm)</w:t>
            </w:r>
          </w:p>
        </w:tc>
        <w:tc>
          <w:tcPr>
            <w:tcW w:w="900" w:type="dxa"/>
            <w:vAlign w:val="bottom"/>
          </w:tcPr>
          <w:p w14:paraId="32888090" w14:textId="77777777" w:rsidR="0059406E" w:rsidRPr="003805A9" w:rsidRDefault="0059406E" w:rsidP="00BB5B0D">
            <w:pPr>
              <w:jc w:val="center"/>
              <w:rPr>
                <w:rFonts w:ascii="Arial" w:hAnsi="Arial" w:cs="Arial"/>
                <w:sz w:val="24"/>
                <w:szCs w:val="24"/>
              </w:rPr>
            </w:pPr>
            <w:r w:rsidRPr="003805A9">
              <w:rPr>
                <w:rFonts w:ascii="Arial" w:eastAsia="Arial" w:hAnsi="Arial" w:cs="Arial"/>
                <w:w w:val="92"/>
                <w:sz w:val="24"/>
                <w:szCs w:val="24"/>
              </w:rPr>
              <w:t>271</w:t>
            </w:r>
          </w:p>
        </w:tc>
        <w:tc>
          <w:tcPr>
            <w:tcW w:w="920" w:type="dxa"/>
            <w:vAlign w:val="bottom"/>
          </w:tcPr>
          <w:p w14:paraId="39B8E935" w14:textId="77777777" w:rsidR="0059406E" w:rsidRPr="003805A9" w:rsidRDefault="0059406E" w:rsidP="00BB5B0D">
            <w:pPr>
              <w:jc w:val="center"/>
              <w:rPr>
                <w:rFonts w:ascii="Arial" w:hAnsi="Arial" w:cs="Arial"/>
                <w:sz w:val="24"/>
                <w:szCs w:val="24"/>
              </w:rPr>
            </w:pPr>
            <w:r w:rsidRPr="003805A9">
              <w:rPr>
                <w:rFonts w:ascii="Arial" w:eastAsia="Arial" w:hAnsi="Arial" w:cs="Arial"/>
                <w:w w:val="87"/>
                <w:sz w:val="24"/>
                <w:szCs w:val="24"/>
              </w:rPr>
              <w:t>271</w:t>
            </w:r>
          </w:p>
        </w:tc>
        <w:tc>
          <w:tcPr>
            <w:tcW w:w="920" w:type="dxa"/>
            <w:vAlign w:val="bottom"/>
          </w:tcPr>
          <w:p w14:paraId="05D76861" w14:textId="77777777" w:rsidR="0059406E" w:rsidRPr="003805A9" w:rsidRDefault="0059406E" w:rsidP="00BB5B0D">
            <w:pPr>
              <w:jc w:val="center"/>
              <w:rPr>
                <w:rFonts w:ascii="Arial" w:hAnsi="Arial" w:cs="Arial"/>
                <w:sz w:val="24"/>
                <w:szCs w:val="24"/>
              </w:rPr>
            </w:pPr>
            <w:r w:rsidRPr="003805A9">
              <w:rPr>
                <w:rFonts w:ascii="Arial" w:eastAsia="Arial" w:hAnsi="Arial" w:cs="Arial"/>
                <w:w w:val="87"/>
                <w:sz w:val="24"/>
                <w:szCs w:val="24"/>
              </w:rPr>
              <w:t>271</w:t>
            </w:r>
          </w:p>
        </w:tc>
      </w:tr>
      <w:tr w:rsidR="0059406E" w:rsidRPr="003805A9" w14:paraId="200F2AAF" w14:textId="77777777" w:rsidTr="00BB5B0D">
        <w:trPr>
          <w:trHeight w:val="296"/>
        </w:trPr>
        <w:tc>
          <w:tcPr>
            <w:tcW w:w="2780" w:type="dxa"/>
            <w:vAlign w:val="bottom"/>
          </w:tcPr>
          <w:p w14:paraId="3550ACFB" w14:textId="77777777" w:rsidR="0059406E" w:rsidRPr="003805A9" w:rsidRDefault="0059406E" w:rsidP="00BB5B0D">
            <w:pPr>
              <w:spacing w:line="296" w:lineRule="exact"/>
              <w:ind w:left="120"/>
              <w:rPr>
                <w:rFonts w:ascii="Arial" w:hAnsi="Arial" w:cs="Arial"/>
                <w:sz w:val="24"/>
                <w:szCs w:val="24"/>
              </w:rPr>
            </w:pPr>
            <w:r w:rsidRPr="003805A9">
              <w:rPr>
                <w:rFonts w:ascii="Arial" w:eastAsia="Arial" w:hAnsi="Arial" w:cs="Arial"/>
                <w:sz w:val="24"/>
                <w:szCs w:val="24"/>
              </w:rPr>
              <w:t>Active area (cm</w:t>
            </w:r>
            <w:r w:rsidRPr="003805A9">
              <w:rPr>
                <w:rFonts w:ascii="Arial" w:eastAsia="Arial" w:hAnsi="Arial" w:cs="Arial"/>
                <w:sz w:val="24"/>
                <w:szCs w:val="24"/>
                <w:vertAlign w:val="superscript"/>
              </w:rPr>
              <w:t>2</w:t>
            </w:r>
            <w:r w:rsidRPr="003805A9">
              <w:rPr>
                <w:rFonts w:ascii="Arial" w:eastAsia="Arial" w:hAnsi="Arial" w:cs="Arial"/>
                <w:sz w:val="24"/>
                <w:szCs w:val="24"/>
              </w:rPr>
              <w:t>)</w:t>
            </w:r>
          </w:p>
        </w:tc>
        <w:tc>
          <w:tcPr>
            <w:tcW w:w="900" w:type="dxa"/>
            <w:vAlign w:val="bottom"/>
          </w:tcPr>
          <w:p w14:paraId="7308E72E" w14:textId="77777777" w:rsidR="0059406E" w:rsidRPr="003805A9" w:rsidRDefault="0059406E" w:rsidP="00BB5B0D">
            <w:pPr>
              <w:jc w:val="center"/>
              <w:rPr>
                <w:rFonts w:ascii="Arial" w:hAnsi="Arial" w:cs="Arial"/>
                <w:sz w:val="24"/>
                <w:szCs w:val="24"/>
              </w:rPr>
            </w:pPr>
            <w:r w:rsidRPr="003805A9">
              <w:rPr>
                <w:rFonts w:ascii="Arial" w:eastAsia="Arial" w:hAnsi="Arial" w:cs="Arial"/>
                <w:w w:val="92"/>
                <w:sz w:val="24"/>
                <w:szCs w:val="24"/>
              </w:rPr>
              <w:t>421</w:t>
            </w:r>
          </w:p>
        </w:tc>
        <w:tc>
          <w:tcPr>
            <w:tcW w:w="920" w:type="dxa"/>
            <w:vAlign w:val="bottom"/>
          </w:tcPr>
          <w:p w14:paraId="3799D349" w14:textId="77777777" w:rsidR="0059406E" w:rsidRPr="003805A9" w:rsidRDefault="0059406E" w:rsidP="00BB5B0D">
            <w:pPr>
              <w:jc w:val="center"/>
              <w:rPr>
                <w:rFonts w:ascii="Arial" w:hAnsi="Arial" w:cs="Arial"/>
                <w:sz w:val="24"/>
                <w:szCs w:val="24"/>
              </w:rPr>
            </w:pPr>
            <w:r w:rsidRPr="003805A9">
              <w:rPr>
                <w:rFonts w:ascii="Arial" w:eastAsia="Arial" w:hAnsi="Arial" w:cs="Arial"/>
                <w:w w:val="87"/>
                <w:sz w:val="24"/>
                <w:szCs w:val="24"/>
              </w:rPr>
              <w:t>562</w:t>
            </w:r>
          </w:p>
        </w:tc>
        <w:tc>
          <w:tcPr>
            <w:tcW w:w="920" w:type="dxa"/>
            <w:vAlign w:val="bottom"/>
          </w:tcPr>
          <w:p w14:paraId="234B6FDD" w14:textId="77777777" w:rsidR="0059406E" w:rsidRPr="003805A9" w:rsidRDefault="0059406E" w:rsidP="00BB5B0D">
            <w:pPr>
              <w:jc w:val="center"/>
              <w:rPr>
                <w:rFonts w:ascii="Arial" w:hAnsi="Arial" w:cs="Arial"/>
                <w:sz w:val="24"/>
                <w:szCs w:val="24"/>
              </w:rPr>
            </w:pPr>
            <w:r w:rsidRPr="003805A9">
              <w:rPr>
                <w:rFonts w:ascii="Arial" w:eastAsia="Arial" w:hAnsi="Arial" w:cs="Arial"/>
                <w:w w:val="87"/>
                <w:sz w:val="24"/>
                <w:szCs w:val="24"/>
              </w:rPr>
              <w:t>702</w:t>
            </w:r>
          </w:p>
        </w:tc>
      </w:tr>
      <w:tr w:rsidR="0059406E" w:rsidRPr="003805A9" w14:paraId="03366319" w14:textId="77777777" w:rsidTr="00BB5B0D">
        <w:trPr>
          <w:trHeight w:val="260"/>
        </w:trPr>
        <w:tc>
          <w:tcPr>
            <w:tcW w:w="2780" w:type="dxa"/>
            <w:vAlign w:val="bottom"/>
          </w:tcPr>
          <w:p w14:paraId="00E5344D" w14:textId="77777777" w:rsidR="0059406E" w:rsidRPr="003805A9" w:rsidRDefault="0059406E" w:rsidP="00BB5B0D">
            <w:pPr>
              <w:ind w:left="120"/>
              <w:rPr>
                <w:rFonts w:ascii="Arial" w:hAnsi="Arial" w:cs="Arial"/>
                <w:sz w:val="24"/>
                <w:szCs w:val="24"/>
              </w:rPr>
            </w:pPr>
            <w:r w:rsidRPr="003805A9">
              <w:rPr>
                <w:rFonts w:ascii="Arial" w:eastAsia="Arial" w:hAnsi="Arial" w:cs="Arial"/>
                <w:sz w:val="24"/>
                <w:szCs w:val="24"/>
              </w:rPr>
              <w:t>Number of pixel chips</w:t>
            </w:r>
          </w:p>
        </w:tc>
        <w:tc>
          <w:tcPr>
            <w:tcW w:w="900" w:type="dxa"/>
            <w:vAlign w:val="bottom"/>
          </w:tcPr>
          <w:p w14:paraId="74140E57" w14:textId="77777777" w:rsidR="0059406E" w:rsidRPr="003805A9" w:rsidRDefault="0059406E" w:rsidP="00BB5B0D">
            <w:pPr>
              <w:jc w:val="center"/>
              <w:rPr>
                <w:rFonts w:ascii="Arial" w:hAnsi="Arial" w:cs="Arial"/>
                <w:sz w:val="24"/>
                <w:szCs w:val="24"/>
              </w:rPr>
            </w:pPr>
            <w:r w:rsidRPr="003805A9">
              <w:rPr>
                <w:rFonts w:ascii="Arial" w:eastAsia="Arial" w:hAnsi="Arial" w:cs="Arial"/>
                <w:w w:val="92"/>
                <w:sz w:val="24"/>
                <w:szCs w:val="24"/>
              </w:rPr>
              <w:t>108</w:t>
            </w:r>
          </w:p>
        </w:tc>
        <w:tc>
          <w:tcPr>
            <w:tcW w:w="920" w:type="dxa"/>
            <w:vAlign w:val="bottom"/>
          </w:tcPr>
          <w:p w14:paraId="40770B6E" w14:textId="77777777" w:rsidR="0059406E" w:rsidRPr="003805A9" w:rsidRDefault="0059406E" w:rsidP="00BB5B0D">
            <w:pPr>
              <w:jc w:val="center"/>
              <w:rPr>
                <w:rFonts w:ascii="Arial" w:hAnsi="Arial" w:cs="Arial"/>
                <w:sz w:val="24"/>
                <w:szCs w:val="24"/>
              </w:rPr>
            </w:pPr>
            <w:r w:rsidRPr="003805A9">
              <w:rPr>
                <w:rFonts w:ascii="Arial" w:eastAsia="Arial" w:hAnsi="Arial" w:cs="Arial"/>
                <w:w w:val="87"/>
                <w:sz w:val="24"/>
                <w:szCs w:val="24"/>
              </w:rPr>
              <w:t>144</w:t>
            </w:r>
          </w:p>
        </w:tc>
        <w:tc>
          <w:tcPr>
            <w:tcW w:w="920" w:type="dxa"/>
            <w:vAlign w:val="bottom"/>
          </w:tcPr>
          <w:p w14:paraId="31FE48AA" w14:textId="77777777" w:rsidR="0059406E" w:rsidRPr="003805A9" w:rsidRDefault="0059406E" w:rsidP="00BB5B0D">
            <w:pPr>
              <w:jc w:val="center"/>
              <w:rPr>
                <w:rFonts w:ascii="Arial" w:hAnsi="Arial" w:cs="Arial"/>
                <w:sz w:val="24"/>
                <w:szCs w:val="24"/>
              </w:rPr>
            </w:pPr>
            <w:r w:rsidRPr="003805A9">
              <w:rPr>
                <w:rFonts w:ascii="Arial" w:eastAsia="Arial" w:hAnsi="Arial" w:cs="Arial"/>
                <w:w w:val="87"/>
                <w:sz w:val="24"/>
                <w:szCs w:val="24"/>
              </w:rPr>
              <w:t>180</w:t>
            </w:r>
          </w:p>
        </w:tc>
      </w:tr>
      <w:tr w:rsidR="0059406E" w:rsidRPr="003805A9" w14:paraId="786043AC" w14:textId="77777777" w:rsidTr="00BB5B0D">
        <w:trPr>
          <w:trHeight w:val="271"/>
        </w:trPr>
        <w:tc>
          <w:tcPr>
            <w:tcW w:w="2780" w:type="dxa"/>
            <w:vAlign w:val="bottom"/>
          </w:tcPr>
          <w:p w14:paraId="5884788B" w14:textId="77777777" w:rsidR="0059406E" w:rsidRPr="003805A9" w:rsidRDefault="0059406E" w:rsidP="00BB5B0D">
            <w:pPr>
              <w:ind w:left="120"/>
              <w:rPr>
                <w:rFonts w:ascii="Arial" w:hAnsi="Arial" w:cs="Arial"/>
                <w:sz w:val="24"/>
                <w:szCs w:val="24"/>
              </w:rPr>
            </w:pPr>
            <w:r w:rsidRPr="003805A9">
              <w:rPr>
                <w:rFonts w:ascii="Arial" w:eastAsia="Arial" w:hAnsi="Arial" w:cs="Arial"/>
                <w:sz w:val="24"/>
                <w:szCs w:val="24"/>
              </w:rPr>
              <w:lastRenderedPageBreak/>
              <w:t>Number of staves</w:t>
            </w:r>
          </w:p>
        </w:tc>
        <w:tc>
          <w:tcPr>
            <w:tcW w:w="900" w:type="dxa"/>
            <w:vAlign w:val="bottom"/>
          </w:tcPr>
          <w:p w14:paraId="6D114AC1" w14:textId="77777777" w:rsidR="0059406E" w:rsidRPr="003805A9" w:rsidRDefault="0059406E" w:rsidP="00BB5B0D">
            <w:pPr>
              <w:jc w:val="center"/>
              <w:rPr>
                <w:rFonts w:ascii="Arial" w:hAnsi="Arial" w:cs="Arial"/>
                <w:sz w:val="24"/>
                <w:szCs w:val="24"/>
              </w:rPr>
            </w:pPr>
            <w:r w:rsidRPr="003805A9">
              <w:rPr>
                <w:rFonts w:ascii="Arial" w:eastAsia="Arial" w:hAnsi="Arial" w:cs="Arial"/>
                <w:w w:val="89"/>
                <w:sz w:val="24"/>
                <w:szCs w:val="24"/>
              </w:rPr>
              <w:t>12</w:t>
            </w:r>
          </w:p>
        </w:tc>
        <w:tc>
          <w:tcPr>
            <w:tcW w:w="920" w:type="dxa"/>
            <w:vAlign w:val="bottom"/>
          </w:tcPr>
          <w:p w14:paraId="4B6DD249" w14:textId="77777777" w:rsidR="0059406E" w:rsidRPr="003805A9" w:rsidRDefault="0059406E" w:rsidP="00BB5B0D">
            <w:pPr>
              <w:jc w:val="center"/>
              <w:rPr>
                <w:rFonts w:ascii="Arial" w:hAnsi="Arial" w:cs="Arial"/>
                <w:sz w:val="24"/>
                <w:szCs w:val="24"/>
              </w:rPr>
            </w:pPr>
            <w:r w:rsidRPr="003805A9">
              <w:rPr>
                <w:rFonts w:ascii="Arial" w:eastAsia="Arial" w:hAnsi="Arial" w:cs="Arial"/>
                <w:w w:val="89"/>
                <w:sz w:val="24"/>
                <w:szCs w:val="24"/>
              </w:rPr>
              <w:t>16</w:t>
            </w:r>
          </w:p>
        </w:tc>
        <w:tc>
          <w:tcPr>
            <w:tcW w:w="920" w:type="dxa"/>
            <w:vAlign w:val="bottom"/>
          </w:tcPr>
          <w:p w14:paraId="4F29243E" w14:textId="77777777" w:rsidR="0059406E" w:rsidRPr="003805A9" w:rsidRDefault="0059406E" w:rsidP="00BB5B0D">
            <w:pPr>
              <w:jc w:val="center"/>
              <w:rPr>
                <w:rFonts w:ascii="Arial" w:hAnsi="Arial" w:cs="Arial"/>
                <w:sz w:val="24"/>
                <w:szCs w:val="24"/>
              </w:rPr>
            </w:pPr>
            <w:r w:rsidRPr="003805A9">
              <w:rPr>
                <w:rFonts w:ascii="Arial" w:eastAsia="Arial" w:hAnsi="Arial" w:cs="Arial"/>
                <w:w w:val="89"/>
                <w:sz w:val="24"/>
                <w:szCs w:val="24"/>
              </w:rPr>
              <w:t>20</w:t>
            </w:r>
          </w:p>
        </w:tc>
      </w:tr>
      <w:tr w:rsidR="0059406E" w:rsidRPr="003805A9" w14:paraId="1BA8362E" w14:textId="77777777" w:rsidTr="00BB5B0D">
        <w:trPr>
          <w:trHeight w:val="59"/>
        </w:trPr>
        <w:tc>
          <w:tcPr>
            <w:tcW w:w="2780" w:type="dxa"/>
            <w:tcBorders>
              <w:bottom w:val="single" w:sz="8" w:space="0" w:color="auto"/>
            </w:tcBorders>
            <w:vAlign w:val="bottom"/>
          </w:tcPr>
          <w:p w14:paraId="201125EE" w14:textId="77777777" w:rsidR="0059406E" w:rsidRPr="003805A9" w:rsidRDefault="0059406E" w:rsidP="00BB5B0D">
            <w:pPr>
              <w:rPr>
                <w:rFonts w:ascii="Arial" w:hAnsi="Arial" w:cs="Arial"/>
                <w:sz w:val="24"/>
                <w:szCs w:val="24"/>
              </w:rPr>
            </w:pPr>
          </w:p>
        </w:tc>
        <w:tc>
          <w:tcPr>
            <w:tcW w:w="900" w:type="dxa"/>
            <w:tcBorders>
              <w:bottom w:val="single" w:sz="8" w:space="0" w:color="auto"/>
            </w:tcBorders>
            <w:vAlign w:val="bottom"/>
          </w:tcPr>
          <w:p w14:paraId="4CE8EC75" w14:textId="77777777" w:rsidR="0059406E" w:rsidRPr="003805A9" w:rsidRDefault="0059406E" w:rsidP="00BB5B0D">
            <w:pPr>
              <w:rPr>
                <w:rFonts w:ascii="Arial" w:hAnsi="Arial" w:cs="Arial"/>
                <w:sz w:val="24"/>
                <w:szCs w:val="24"/>
              </w:rPr>
            </w:pPr>
          </w:p>
        </w:tc>
        <w:tc>
          <w:tcPr>
            <w:tcW w:w="920" w:type="dxa"/>
            <w:tcBorders>
              <w:bottom w:val="single" w:sz="8" w:space="0" w:color="auto"/>
            </w:tcBorders>
            <w:vAlign w:val="bottom"/>
          </w:tcPr>
          <w:p w14:paraId="1EC42BE8" w14:textId="77777777" w:rsidR="0059406E" w:rsidRPr="003805A9" w:rsidRDefault="0059406E" w:rsidP="00BB5B0D">
            <w:pPr>
              <w:rPr>
                <w:rFonts w:ascii="Arial" w:hAnsi="Arial" w:cs="Arial"/>
                <w:sz w:val="24"/>
                <w:szCs w:val="24"/>
              </w:rPr>
            </w:pPr>
          </w:p>
        </w:tc>
        <w:tc>
          <w:tcPr>
            <w:tcW w:w="920" w:type="dxa"/>
            <w:tcBorders>
              <w:bottom w:val="single" w:sz="8" w:space="0" w:color="auto"/>
            </w:tcBorders>
            <w:vAlign w:val="bottom"/>
          </w:tcPr>
          <w:p w14:paraId="66D5303B" w14:textId="77777777" w:rsidR="0059406E" w:rsidRPr="003805A9" w:rsidRDefault="0059406E" w:rsidP="00BB5B0D">
            <w:pPr>
              <w:rPr>
                <w:rFonts w:ascii="Arial" w:hAnsi="Arial" w:cs="Arial"/>
                <w:sz w:val="24"/>
                <w:szCs w:val="24"/>
              </w:rPr>
            </w:pPr>
          </w:p>
        </w:tc>
      </w:tr>
    </w:tbl>
    <w:p w14:paraId="448FE772" w14:textId="77777777" w:rsidR="002275A9" w:rsidRDefault="002275A9" w:rsidP="0014557A">
      <w:pPr>
        <w:pStyle w:val="Heading2"/>
        <w:rPr>
          <w:rFonts w:ascii="Arial" w:hAnsi="Arial" w:cs="Arial"/>
          <w:b/>
          <w:bCs/>
          <w:color w:val="auto"/>
          <w:sz w:val="24"/>
          <w:szCs w:val="24"/>
        </w:rPr>
      </w:pPr>
      <w:bookmarkStart w:id="11" w:name="_Hlk8121175"/>
    </w:p>
    <w:p w14:paraId="4BBF5134" w14:textId="22DAF258" w:rsidR="00DD63A2" w:rsidRPr="003805A9" w:rsidRDefault="00DD63A2" w:rsidP="0014557A">
      <w:pPr>
        <w:pStyle w:val="Heading2"/>
        <w:rPr>
          <w:rFonts w:ascii="Arial" w:hAnsi="Arial" w:cs="Arial"/>
          <w:b/>
          <w:bCs/>
          <w:color w:val="auto"/>
          <w:sz w:val="24"/>
          <w:szCs w:val="24"/>
        </w:rPr>
      </w:pPr>
      <w:r w:rsidRPr="003805A9">
        <w:rPr>
          <w:rFonts w:ascii="Arial" w:hAnsi="Arial" w:cs="Arial"/>
          <w:b/>
          <w:bCs/>
          <w:color w:val="auto"/>
          <w:sz w:val="24"/>
          <w:szCs w:val="24"/>
        </w:rPr>
        <w:t>2.</w:t>
      </w:r>
      <w:r w:rsidR="00A22234">
        <w:rPr>
          <w:rFonts w:ascii="Arial" w:hAnsi="Arial" w:cs="Arial"/>
          <w:b/>
          <w:bCs/>
          <w:color w:val="auto"/>
          <w:sz w:val="24"/>
          <w:szCs w:val="24"/>
        </w:rPr>
        <w:t>4</w:t>
      </w:r>
      <w:r w:rsidRPr="003805A9">
        <w:rPr>
          <w:rFonts w:ascii="Arial" w:hAnsi="Arial" w:cs="Arial"/>
          <w:b/>
          <w:bCs/>
          <w:color w:val="auto"/>
          <w:sz w:val="24"/>
          <w:szCs w:val="24"/>
        </w:rPr>
        <w:t xml:space="preserve"> Cost Breakdown</w:t>
      </w:r>
    </w:p>
    <w:bookmarkEnd w:id="11"/>
    <w:p w14:paraId="059B0C44" w14:textId="77777777" w:rsidR="00DD63A2" w:rsidRPr="003805A9" w:rsidRDefault="00DD63A2" w:rsidP="00DD63A2">
      <w:pPr>
        <w:autoSpaceDE w:val="0"/>
        <w:autoSpaceDN w:val="0"/>
        <w:adjustRightInd w:val="0"/>
        <w:rPr>
          <w:rFonts w:ascii="Arial" w:hAnsi="Arial" w:cs="Arial"/>
          <w:sz w:val="24"/>
          <w:szCs w:val="24"/>
        </w:rPr>
      </w:pPr>
    </w:p>
    <w:p w14:paraId="10074539" w14:textId="4558C132" w:rsidR="00DD63A2" w:rsidRPr="003805A9" w:rsidRDefault="00DD63A2" w:rsidP="00DD63A2">
      <w:pPr>
        <w:autoSpaceDE w:val="0"/>
        <w:autoSpaceDN w:val="0"/>
        <w:adjustRightInd w:val="0"/>
        <w:rPr>
          <w:rFonts w:ascii="Arial" w:hAnsi="Arial" w:cs="Arial"/>
          <w:sz w:val="24"/>
          <w:szCs w:val="24"/>
        </w:rPr>
      </w:pPr>
      <w:r w:rsidRPr="003805A9">
        <w:rPr>
          <w:rFonts w:ascii="Arial" w:hAnsi="Arial" w:cs="Arial"/>
          <w:sz w:val="24"/>
          <w:szCs w:val="24"/>
        </w:rPr>
        <w:t xml:space="preserve">The budget summary for the MVTX project is shown in </w:t>
      </w:r>
      <w:r w:rsidRPr="003805A9">
        <w:rPr>
          <w:rFonts w:ascii="Arial" w:hAnsi="Arial" w:cs="Arial"/>
          <w:sz w:val="24"/>
          <w:szCs w:val="24"/>
        </w:rPr>
        <w:fldChar w:fldCharType="begin"/>
      </w:r>
      <w:r w:rsidRPr="003805A9">
        <w:rPr>
          <w:rFonts w:ascii="Arial" w:hAnsi="Arial" w:cs="Arial"/>
          <w:sz w:val="24"/>
          <w:szCs w:val="24"/>
        </w:rPr>
        <w:instrText xml:space="preserve"> REF _Ref170637559 \h </w:instrText>
      </w:r>
      <w:r w:rsidR="003805A9" w:rsidRPr="003805A9">
        <w:rPr>
          <w:rFonts w:ascii="Arial" w:hAnsi="Arial" w:cs="Arial"/>
          <w:sz w:val="24"/>
          <w:szCs w:val="24"/>
        </w:rPr>
        <w:instrText xml:space="preserve"> \* MERGEFORMAT </w:instrText>
      </w:r>
      <w:r w:rsidRPr="003805A9">
        <w:rPr>
          <w:rFonts w:ascii="Arial" w:hAnsi="Arial" w:cs="Arial"/>
          <w:sz w:val="24"/>
          <w:szCs w:val="24"/>
        </w:rPr>
      </w:r>
      <w:r w:rsidRPr="003805A9">
        <w:rPr>
          <w:rFonts w:ascii="Arial" w:hAnsi="Arial" w:cs="Arial"/>
          <w:sz w:val="24"/>
          <w:szCs w:val="24"/>
        </w:rPr>
        <w:fldChar w:fldCharType="separate"/>
      </w:r>
      <w:r w:rsidR="00127F21">
        <w:rPr>
          <w:rFonts w:ascii="Arial" w:hAnsi="Arial" w:cs="Arial"/>
          <w:b/>
          <w:bCs/>
          <w:sz w:val="24"/>
          <w:szCs w:val="24"/>
        </w:rPr>
        <w:t>Error! Reference source not found.</w:t>
      </w:r>
      <w:r w:rsidRPr="003805A9">
        <w:rPr>
          <w:rFonts w:ascii="Arial" w:hAnsi="Arial" w:cs="Arial"/>
          <w:sz w:val="24"/>
          <w:szCs w:val="24"/>
        </w:rPr>
        <w:fldChar w:fldCharType="end"/>
      </w:r>
      <w:r w:rsidRPr="003805A9">
        <w:rPr>
          <w:rFonts w:ascii="Arial" w:hAnsi="Arial" w:cs="Arial"/>
          <w:sz w:val="24"/>
          <w:szCs w:val="24"/>
        </w:rPr>
        <w:t xml:space="preserve"> . The inflation adjusted costs of the MVTX project is $</w:t>
      </w:r>
      <w:r w:rsidR="003805A9" w:rsidRPr="003805A9">
        <w:rPr>
          <w:rFonts w:ascii="Arial" w:hAnsi="Arial" w:cs="Arial"/>
          <w:sz w:val="24"/>
          <w:szCs w:val="24"/>
        </w:rPr>
        <w:t xml:space="preserve"> 3.61</w:t>
      </w:r>
      <w:r w:rsidRPr="003805A9">
        <w:rPr>
          <w:rFonts w:ascii="Arial" w:hAnsi="Arial" w:cs="Arial"/>
          <w:sz w:val="24"/>
          <w:szCs w:val="24"/>
        </w:rPr>
        <w:t xml:space="preserve"> M.  The breakdown for cost</w:t>
      </w:r>
      <w:r w:rsidR="003805A9" w:rsidRPr="003805A9">
        <w:rPr>
          <w:rFonts w:ascii="Arial" w:hAnsi="Arial" w:cs="Arial"/>
          <w:sz w:val="24"/>
          <w:szCs w:val="24"/>
        </w:rPr>
        <w:t>s</w:t>
      </w:r>
      <w:r w:rsidRPr="003805A9">
        <w:rPr>
          <w:rFonts w:ascii="Arial" w:hAnsi="Arial" w:cs="Arial"/>
          <w:sz w:val="24"/>
          <w:szCs w:val="24"/>
        </w:rPr>
        <w:t xml:space="preserve"> in FY</w:t>
      </w:r>
      <w:r w:rsidR="00897DA9">
        <w:rPr>
          <w:rFonts w:ascii="Arial" w:hAnsi="Arial" w:cs="Arial"/>
          <w:sz w:val="24"/>
          <w:szCs w:val="24"/>
        </w:rPr>
        <w:t>19</w:t>
      </w:r>
      <w:r w:rsidRPr="003805A9">
        <w:rPr>
          <w:rFonts w:ascii="Arial" w:hAnsi="Arial" w:cs="Arial"/>
          <w:sz w:val="24"/>
          <w:szCs w:val="24"/>
        </w:rPr>
        <w:t xml:space="preserve"> dollars is shown in</w:t>
      </w:r>
      <w:r w:rsidR="003805A9" w:rsidRPr="003805A9">
        <w:rPr>
          <w:rFonts w:ascii="Arial" w:hAnsi="Arial" w:cs="Arial"/>
          <w:sz w:val="24"/>
          <w:szCs w:val="24"/>
        </w:rPr>
        <w:t xml:space="preserve"> Table</w:t>
      </w:r>
      <w:r w:rsidRPr="003805A9">
        <w:rPr>
          <w:rFonts w:ascii="Arial" w:hAnsi="Arial" w:cs="Arial"/>
          <w:sz w:val="24"/>
          <w:szCs w:val="24"/>
        </w:rPr>
        <w:t xml:space="preserve"> </w:t>
      </w:r>
      <w:r w:rsidR="003805A9" w:rsidRPr="003805A9">
        <w:rPr>
          <w:rFonts w:ascii="Arial" w:hAnsi="Arial" w:cs="Arial"/>
          <w:sz w:val="24"/>
          <w:szCs w:val="24"/>
        </w:rPr>
        <w:t xml:space="preserve">3. The electronics costs are manly for procurements because the R&amp;D effort was covered under a LANL LDRD.  The largest cost item is WBS 3.2.3 </w:t>
      </w:r>
    </w:p>
    <w:tbl>
      <w:tblPr>
        <w:tblStyle w:val="TableGrid"/>
        <w:tblW w:w="0" w:type="auto"/>
        <w:tblLook w:val="04A0" w:firstRow="1" w:lastRow="0" w:firstColumn="1" w:lastColumn="0" w:noHBand="0" w:noVBand="1"/>
      </w:tblPr>
      <w:tblGrid>
        <w:gridCol w:w="3116"/>
        <w:gridCol w:w="3117"/>
        <w:gridCol w:w="3117"/>
      </w:tblGrid>
      <w:tr w:rsidR="003805A9" w:rsidRPr="003805A9" w14:paraId="2133147F" w14:textId="77777777" w:rsidTr="003805A9">
        <w:tc>
          <w:tcPr>
            <w:tcW w:w="3116" w:type="dxa"/>
          </w:tcPr>
          <w:p w14:paraId="16D11D3B" w14:textId="6BFB0044" w:rsidR="003805A9" w:rsidRPr="003805A9" w:rsidRDefault="003805A9" w:rsidP="0014557A">
            <w:pPr>
              <w:pStyle w:val="Heading2"/>
              <w:outlineLvl w:val="1"/>
              <w:rPr>
                <w:rFonts w:ascii="Arial" w:hAnsi="Arial" w:cs="Arial"/>
                <w:bCs/>
                <w:color w:val="auto"/>
                <w:sz w:val="24"/>
                <w:szCs w:val="24"/>
              </w:rPr>
            </w:pPr>
            <w:r w:rsidRPr="003805A9">
              <w:rPr>
                <w:rFonts w:ascii="Arial" w:hAnsi="Arial" w:cs="Arial"/>
                <w:bCs/>
                <w:color w:val="auto"/>
                <w:sz w:val="24"/>
                <w:szCs w:val="24"/>
              </w:rPr>
              <w:t>WBS number</w:t>
            </w:r>
          </w:p>
        </w:tc>
        <w:tc>
          <w:tcPr>
            <w:tcW w:w="3117" w:type="dxa"/>
          </w:tcPr>
          <w:p w14:paraId="6F5B0CA4" w14:textId="206499C9" w:rsidR="003805A9" w:rsidRPr="003805A9" w:rsidRDefault="003805A9" w:rsidP="0014557A">
            <w:pPr>
              <w:pStyle w:val="Heading2"/>
              <w:outlineLvl w:val="1"/>
              <w:rPr>
                <w:rFonts w:ascii="Arial" w:hAnsi="Arial" w:cs="Arial"/>
                <w:bCs/>
                <w:color w:val="auto"/>
                <w:sz w:val="24"/>
                <w:szCs w:val="24"/>
              </w:rPr>
            </w:pPr>
            <w:r w:rsidRPr="003805A9">
              <w:rPr>
                <w:rFonts w:ascii="Arial" w:hAnsi="Arial" w:cs="Arial"/>
                <w:bCs/>
                <w:color w:val="auto"/>
                <w:sz w:val="24"/>
                <w:szCs w:val="24"/>
              </w:rPr>
              <w:t>Task</w:t>
            </w:r>
          </w:p>
        </w:tc>
        <w:tc>
          <w:tcPr>
            <w:tcW w:w="3117" w:type="dxa"/>
          </w:tcPr>
          <w:p w14:paraId="1300CFDD" w14:textId="6504CC5E" w:rsidR="003805A9" w:rsidRPr="003805A9" w:rsidRDefault="003805A9" w:rsidP="0014557A">
            <w:pPr>
              <w:pStyle w:val="Heading2"/>
              <w:outlineLvl w:val="1"/>
              <w:rPr>
                <w:rFonts w:ascii="Arial" w:hAnsi="Arial" w:cs="Arial"/>
                <w:bCs/>
                <w:color w:val="auto"/>
                <w:sz w:val="24"/>
                <w:szCs w:val="24"/>
              </w:rPr>
            </w:pPr>
            <w:r w:rsidRPr="003805A9">
              <w:rPr>
                <w:rFonts w:ascii="Arial" w:hAnsi="Arial" w:cs="Arial"/>
                <w:bCs/>
                <w:color w:val="auto"/>
                <w:sz w:val="24"/>
                <w:szCs w:val="24"/>
              </w:rPr>
              <w:t>Cost</w:t>
            </w:r>
          </w:p>
        </w:tc>
      </w:tr>
      <w:tr w:rsidR="003805A9" w:rsidRPr="003805A9" w14:paraId="73B65262" w14:textId="77777777" w:rsidTr="003805A9">
        <w:tc>
          <w:tcPr>
            <w:tcW w:w="3116" w:type="dxa"/>
          </w:tcPr>
          <w:p w14:paraId="3FA6235B" w14:textId="62FFC4D2" w:rsidR="003805A9" w:rsidRPr="003805A9" w:rsidRDefault="003805A9" w:rsidP="0014557A">
            <w:pPr>
              <w:pStyle w:val="Heading2"/>
              <w:outlineLvl w:val="1"/>
              <w:rPr>
                <w:rFonts w:ascii="Arial" w:hAnsi="Arial" w:cs="Arial"/>
                <w:bCs/>
                <w:color w:val="auto"/>
                <w:sz w:val="24"/>
                <w:szCs w:val="24"/>
              </w:rPr>
            </w:pPr>
            <w:r w:rsidRPr="003805A9">
              <w:rPr>
                <w:rFonts w:ascii="Arial" w:hAnsi="Arial" w:cs="Arial"/>
                <w:bCs/>
                <w:color w:val="auto"/>
                <w:sz w:val="24"/>
                <w:szCs w:val="24"/>
              </w:rPr>
              <w:t>3.2.1</w:t>
            </w:r>
          </w:p>
        </w:tc>
        <w:tc>
          <w:tcPr>
            <w:tcW w:w="3117" w:type="dxa"/>
          </w:tcPr>
          <w:p w14:paraId="63A71E04" w14:textId="04B774AB" w:rsidR="003805A9" w:rsidRPr="003805A9" w:rsidRDefault="003805A9" w:rsidP="0014557A">
            <w:pPr>
              <w:pStyle w:val="Heading2"/>
              <w:outlineLvl w:val="1"/>
              <w:rPr>
                <w:rFonts w:ascii="Arial" w:hAnsi="Arial" w:cs="Arial"/>
                <w:bCs/>
                <w:color w:val="auto"/>
                <w:sz w:val="24"/>
                <w:szCs w:val="24"/>
              </w:rPr>
            </w:pPr>
            <w:r w:rsidRPr="003805A9">
              <w:rPr>
                <w:rFonts w:ascii="Arial" w:hAnsi="Arial" w:cs="Arial"/>
                <w:bCs/>
                <w:color w:val="auto"/>
                <w:sz w:val="24"/>
                <w:szCs w:val="24"/>
              </w:rPr>
              <w:t>Management</w:t>
            </w:r>
          </w:p>
        </w:tc>
        <w:tc>
          <w:tcPr>
            <w:tcW w:w="3117" w:type="dxa"/>
          </w:tcPr>
          <w:p w14:paraId="1D3775FE" w14:textId="22174DC1" w:rsidR="003805A9" w:rsidRPr="003805A9" w:rsidRDefault="003805A9" w:rsidP="0014557A">
            <w:pPr>
              <w:pStyle w:val="Heading2"/>
              <w:outlineLvl w:val="1"/>
              <w:rPr>
                <w:rFonts w:ascii="Arial" w:hAnsi="Arial" w:cs="Arial"/>
                <w:bCs/>
                <w:color w:val="auto"/>
                <w:sz w:val="24"/>
                <w:szCs w:val="24"/>
              </w:rPr>
            </w:pPr>
            <w:r w:rsidRPr="003805A9">
              <w:rPr>
                <w:rFonts w:ascii="Arial" w:hAnsi="Arial" w:cs="Arial"/>
                <w:bCs/>
                <w:color w:val="auto"/>
                <w:sz w:val="24"/>
                <w:szCs w:val="24"/>
              </w:rPr>
              <w:t>$543k</w:t>
            </w:r>
          </w:p>
        </w:tc>
      </w:tr>
      <w:tr w:rsidR="003805A9" w:rsidRPr="003805A9" w14:paraId="1C24CC9C" w14:textId="77777777" w:rsidTr="003805A9">
        <w:tc>
          <w:tcPr>
            <w:tcW w:w="3116" w:type="dxa"/>
          </w:tcPr>
          <w:p w14:paraId="348373E3" w14:textId="1837DBD0" w:rsidR="003805A9" w:rsidRPr="003805A9" w:rsidRDefault="003805A9" w:rsidP="0014557A">
            <w:pPr>
              <w:pStyle w:val="Heading2"/>
              <w:outlineLvl w:val="1"/>
              <w:rPr>
                <w:rFonts w:ascii="Arial" w:hAnsi="Arial" w:cs="Arial"/>
                <w:bCs/>
                <w:color w:val="auto"/>
                <w:sz w:val="24"/>
                <w:szCs w:val="24"/>
              </w:rPr>
            </w:pPr>
            <w:r w:rsidRPr="003805A9">
              <w:rPr>
                <w:rFonts w:ascii="Arial" w:hAnsi="Arial" w:cs="Arial"/>
                <w:bCs/>
                <w:color w:val="auto"/>
                <w:sz w:val="24"/>
                <w:szCs w:val="24"/>
              </w:rPr>
              <w:t>3.2.2</w:t>
            </w:r>
          </w:p>
        </w:tc>
        <w:tc>
          <w:tcPr>
            <w:tcW w:w="3117" w:type="dxa"/>
          </w:tcPr>
          <w:p w14:paraId="32018FBA" w14:textId="7D745E32" w:rsidR="003805A9" w:rsidRPr="003805A9" w:rsidRDefault="003805A9" w:rsidP="0014557A">
            <w:pPr>
              <w:pStyle w:val="Heading2"/>
              <w:outlineLvl w:val="1"/>
              <w:rPr>
                <w:rFonts w:ascii="Arial" w:hAnsi="Arial" w:cs="Arial"/>
                <w:bCs/>
                <w:color w:val="auto"/>
                <w:sz w:val="24"/>
                <w:szCs w:val="24"/>
              </w:rPr>
            </w:pPr>
            <w:r w:rsidRPr="003805A9">
              <w:rPr>
                <w:rFonts w:ascii="Arial" w:hAnsi="Arial" w:cs="Arial"/>
                <w:bCs/>
                <w:color w:val="auto"/>
                <w:sz w:val="24"/>
                <w:szCs w:val="24"/>
              </w:rPr>
              <w:t>Electronics</w:t>
            </w:r>
          </w:p>
        </w:tc>
        <w:tc>
          <w:tcPr>
            <w:tcW w:w="3117" w:type="dxa"/>
          </w:tcPr>
          <w:p w14:paraId="00F39842" w14:textId="55FD4B5C" w:rsidR="003805A9" w:rsidRPr="003805A9" w:rsidRDefault="003805A9" w:rsidP="0014557A">
            <w:pPr>
              <w:pStyle w:val="Heading2"/>
              <w:outlineLvl w:val="1"/>
              <w:rPr>
                <w:rFonts w:ascii="Arial" w:hAnsi="Arial" w:cs="Arial"/>
                <w:bCs/>
                <w:color w:val="auto"/>
                <w:sz w:val="24"/>
                <w:szCs w:val="24"/>
              </w:rPr>
            </w:pPr>
            <w:r w:rsidRPr="003805A9">
              <w:rPr>
                <w:rFonts w:ascii="Arial" w:hAnsi="Arial" w:cs="Arial"/>
                <w:bCs/>
                <w:color w:val="auto"/>
                <w:sz w:val="24"/>
                <w:szCs w:val="24"/>
              </w:rPr>
              <w:t>$401k</w:t>
            </w:r>
          </w:p>
        </w:tc>
      </w:tr>
      <w:tr w:rsidR="003805A9" w:rsidRPr="003805A9" w14:paraId="15B34E89" w14:textId="77777777" w:rsidTr="003805A9">
        <w:tc>
          <w:tcPr>
            <w:tcW w:w="3116" w:type="dxa"/>
          </w:tcPr>
          <w:p w14:paraId="4ACA2BBA" w14:textId="43B1004A" w:rsidR="003805A9" w:rsidRPr="003805A9" w:rsidRDefault="003805A9" w:rsidP="0014557A">
            <w:pPr>
              <w:pStyle w:val="Heading2"/>
              <w:outlineLvl w:val="1"/>
              <w:rPr>
                <w:rFonts w:ascii="Arial" w:hAnsi="Arial" w:cs="Arial"/>
                <w:bCs/>
                <w:color w:val="auto"/>
                <w:sz w:val="24"/>
                <w:szCs w:val="24"/>
              </w:rPr>
            </w:pPr>
            <w:r w:rsidRPr="003805A9">
              <w:rPr>
                <w:rFonts w:ascii="Arial" w:hAnsi="Arial" w:cs="Arial"/>
                <w:bCs/>
                <w:color w:val="auto"/>
                <w:sz w:val="24"/>
                <w:szCs w:val="24"/>
              </w:rPr>
              <w:t>3.2.3</w:t>
            </w:r>
          </w:p>
        </w:tc>
        <w:tc>
          <w:tcPr>
            <w:tcW w:w="3117" w:type="dxa"/>
          </w:tcPr>
          <w:p w14:paraId="48FC669C" w14:textId="54E9AEDE" w:rsidR="003805A9" w:rsidRPr="003805A9" w:rsidRDefault="003805A9" w:rsidP="0014557A">
            <w:pPr>
              <w:pStyle w:val="Heading2"/>
              <w:outlineLvl w:val="1"/>
              <w:rPr>
                <w:rFonts w:ascii="Arial" w:hAnsi="Arial" w:cs="Arial"/>
                <w:bCs/>
                <w:color w:val="auto"/>
                <w:sz w:val="24"/>
                <w:szCs w:val="24"/>
              </w:rPr>
            </w:pPr>
            <w:r w:rsidRPr="003805A9">
              <w:rPr>
                <w:rFonts w:ascii="Arial" w:hAnsi="Arial" w:cs="Arial"/>
                <w:bCs/>
                <w:color w:val="auto"/>
                <w:sz w:val="24"/>
                <w:szCs w:val="24"/>
              </w:rPr>
              <w:t>Mechanics and Detector Assembly</w:t>
            </w:r>
          </w:p>
        </w:tc>
        <w:tc>
          <w:tcPr>
            <w:tcW w:w="3117" w:type="dxa"/>
          </w:tcPr>
          <w:p w14:paraId="15F93D59" w14:textId="431483C5" w:rsidR="003805A9" w:rsidRPr="003805A9" w:rsidRDefault="003805A9" w:rsidP="0014557A">
            <w:pPr>
              <w:pStyle w:val="Heading2"/>
              <w:outlineLvl w:val="1"/>
              <w:rPr>
                <w:rFonts w:ascii="Arial" w:hAnsi="Arial" w:cs="Arial"/>
                <w:bCs/>
                <w:color w:val="auto"/>
                <w:sz w:val="24"/>
                <w:szCs w:val="24"/>
              </w:rPr>
            </w:pPr>
            <w:r w:rsidRPr="003805A9">
              <w:rPr>
                <w:rFonts w:ascii="Arial" w:hAnsi="Arial" w:cs="Arial"/>
                <w:bCs/>
                <w:color w:val="auto"/>
                <w:sz w:val="24"/>
                <w:szCs w:val="24"/>
              </w:rPr>
              <w:t>$1738k</w:t>
            </w:r>
          </w:p>
        </w:tc>
      </w:tr>
      <w:tr w:rsidR="003805A9" w:rsidRPr="003805A9" w14:paraId="2EE9593A" w14:textId="77777777" w:rsidTr="003805A9">
        <w:tc>
          <w:tcPr>
            <w:tcW w:w="3116" w:type="dxa"/>
          </w:tcPr>
          <w:p w14:paraId="1AD89106" w14:textId="17B62939" w:rsidR="003805A9" w:rsidRPr="003805A9" w:rsidRDefault="003805A9" w:rsidP="0014557A">
            <w:pPr>
              <w:pStyle w:val="Heading2"/>
              <w:outlineLvl w:val="1"/>
              <w:rPr>
                <w:rFonts w:ascii="Arial" w:hAnsi="Arial" w:cs="Arial"/>
                <w:bCs/>
                <w:color w:val="auto"/>
                <w:sz w:val="24"/>
                <w:szCs w:val="24"/>
              </w:rPr>
            </w:pPr>
            <w:r w:rsidRPr="003805A9">
              <w:rPr>
                <w:rFonts w:ascii="Arial" w:hAnsi="Arial" w:cs="Arial"/>
                <w:bCs/>
                <w:color w:val="auto"/>
                <w:sz w:val="24"/>
                <w:szCs w:val="24"/>
              </w:rPr>
              <w:t>3.2.4</w:t>
            </w:r>
          </w:p>
        </w:tc>
        <w:tc>
          <w:tcPr>
            <w:tcW w:w="3117" w:type="dxa"/>
          </w:tcPr>
          <w:p w14:paraId="01404FF3" w14:textId="143D4CE9" w:rsidR="003805A9" w:rsidRPr="003805A9" w:rsidRDefault="003805A9" w:rsidP="0014557A">
            <w:pPr>
              <w:pStyle w:val="Heading2"/>
              <w:outlineLvl w:val="1"/>
              <w:rPr>
                <w:rFonts w:ascii="Arial" w:hAnsi="Arial" w:cs="Arial"/>
                <w:bCs/>
                <w:color w:val="auto"/>
                <w:sz w:val="24"/>
                <w:szCs w:val="24"/>
              </w:rPr>
            </w:pPr>
            <w:r w:rsidRPr="003805A9">
              <w:rPr>
                <w:rFonts w:ascii="Arial" w:hAnsi="Arial" w:cs="Arial"/>
                <w:bCs/>
                <w:color w:val="auto"/>
                <w:sz w:val="24"/>
                <w:szCs w:val="24"/>
              </w:rPr>
              <w:t>Integration and Infrastructure</w:t>
            </w:r>
          </w:p>
        </w:tc>
        <w:tc>
          <w:tcPr>
            <w:tcW w:w="3117" w:type="dxa"/>
          </w:tcPr>
          <w:p w14:paraId="1B47DCAB" w14:textId="7AAC6B5E" w:rsidR="003805A9" w:rsidRPr="003805A9" w:rsidRDefault="003805A9" w:rsidP="0014557A">
            <w:pPr>
              <w:pStyle w:val="Heading2"/>
              <w:outlineLvl w:val="1"/>
              <w:rPr>
                <w:rFonts w:ascii="Arial" w:hAnsi="Arial" w:cs="Arial"/>
                <w:bCs/>
                <w:color w:val="auto"/>
                <w:sz w:val="24"/>
                <w:szCs w:val="24"/>
              </w:rPr>
            </w:pPr>
            <w:r w:rsidRPr="003805A9">
              <w:rPr>
                <w:rFonts w:ascii="Arial" w:hAnsi="Arial" w:cs="Arial"/>
                <w:bCs/>
                <w:color w:val="auto"/>
                <w:sz w:val="24"/>
                <w:szCs w:val="24"/>
              </w:rPr>
              <w:t>$927k</w:t>
            </w:r>
          </w:p>
        </w:tc>
      </w:tr>
    </w:tbl>
    <w:p w14:paraId="54873B76" w14:textId="15651285" w:rsidR="003805A9" w:rsidRPr="003805A9" w:rsidRDefault="00AC0A32" w:rsidP="0014557A">
      <w:pPr>
        <w:pStyle w:val="Heading2"/>
        <w:rPr>
          <w:rFonts w:ascii="Arial" w:hAnsi="Arial" w:cs="Arial"/>
          <w:b/>
          <w:bCs/>
          <w:color w:val="auto"/>
          <w:sz w:val="24"/>
          <w:szCs w:val="24"/>
        </w:rPr>
      </w:pPr>
      <w:r>
        <w:rPr>
          <w:rFonts w:ascii="Arial" w:hAnsi="Arial" w:cs="Arial"/>
          <w:b/>
          <w:bCs/>
          <w:color w:val="auto"/>
          <w:sz w:val="24"/>
          <w:szCs w:val="24"/>
        </w:rPr>
        <w:t>Figure 4 Cost breakdown in FY 19 dollars. No contingency is included.</w:t>
      </w:r>
    </w:p>
    <w:p w14:paraId="39EECC9D" w14:textId="684D4348" w:rsidR="003805A9" w:rsidRDefault="003805A9" w:rsidP="0014557A">
      <w:pPr>
        <w:pStyle w:val="Heading2"/>
        <w:rPr>
          <w:rFonts w:ascii="Arial" w:hAnsi="Arial" w:cs="Arial"/>
          <w:b/>
          <w:bCs/>
          <w:color w:val="auto"/>
          <w:sz w:val="24"/>
          <w:szCs w:val="24"/>
        </w:rPr>
      </w:pPr>
    </w:p>
    <w:p w14:paraId="771B09C1" w14:textId="77777777" w:rsidR="008967D4" w:rsidRPr="008967D4" w:rsidRDefault="008967D4" w:rsidP="008967D4"/>
    <w:p w14:paraId="72801B1F" w14:textId="663BF654" w:rsidR="0014557A" w:rsidRPr="003805A9" w:rsidRDefault="00322C51" w:rsidP="0014557A">
      <w:pPr>
        <w:pStyle w:val="Heading2"/>
        <w:rPr>
          <w:rFonts w:ascii="Arial" w:hAnsi="Arial" w:cs="Arial"/>
          <w:b/>
          <w:bCs/>
          <w:color w:val="auto"/>
          <w:sz w:val="24"/>
          <w:szCs w:val="24"/>
        </w:rPr>
      </w:pPr>
      <w:r w:rsidRPr="003805A9">
        <w:rPr>
          <w:rFonts w:ascii="Arial" w:hAnsi="Arial" w:cs="Arial"/>
          <w:b/>
          <w:bCs/>
          <w:color w:val="auto"/>
          <w:sz w:val="24"/>
          <w:szCs w:val="24"/>
        </w:rPr>
        <w:t>2.</w:t>
      </w:r>
      <w:r w:rsidR="00A22234">
        <w:rPr>
          <w:rFonts w:ascii="Arial" w:hAnsi="Arial" w:cs="Arial"/>
          <w:b/>
          <w:bCs/>
          <w:color w:val="auto"/>
          <w:sz w:val="24"/>
          <w:szCs w:val="24"/>
        </w:rPr>
        <w:t>5</w:t>
      </w:r>
      <w:r w:rsidRPr="003805A9">
        <w:rPr>
          <w:rFonts w:ascii="Arial" w:hAnsi="Arial" w:cs="Arial"/>
          <w:b/>
          <w:bCs/>
          <w:color w:val="auto"/>
          <w:sz w:val="24"/>
          <w:szCs w:val="24"/>
        </w:rPr>
        <w:t xml:space="preserve"> Sche</w:t>
      </w:r>
      <w:r w:rsidR="0014557A" w:rsidRPr="003805A9">
        <w:rPr>
          <w:rFonts w:ascii="Arial" w:hAnsi="Arial" w:cs="Arial"/>
          <w:b/>
          <w:bCs/>
          <w:color w:val="auto"/>
          <w:sz w:val="24"/>
          <w:szCs w:val="24"/>
        </w:rPr>
        <w:t>dule</w:t>
      </w:r>
    </w:p>
    <w:p w14:paraId="4FF6814B" w14:textId="349E5CB7" w:rsidR="00B238D8" w:rsidRPr="003805A9" w:rsidRDefault="00B238D8" w:rsidP="00B238D8">
      <w:pPr>
        <w:rPr>
          <w:rFonts w:ascii="Arial" w:hAnsi="Arial" w:cs="Arial"/>
          <w:sz w:val="24"/>
          <w:szCs w:val="24"/>
        </w:rPr>
      </w:pPr>
    </w:p>
    <w:p w14:paraId="487C577D" w14:textId="647DBDFF" w:rsidR="002225DD" w:rsidRPr="003805A9" w:rsidRDefault="002225DD" w:rsidP="00B238D8">
      <w:pPr>
        <w:rPr>
          <w:rFonts w:ascii="Arial" w:hAnsi="Arial" w:cs="Arial"/>
          <w:sz w:val="24"/>
          <w:szCs w:val="24"/>
        </w:rPr>
      </w:pPr>
      <w:r w:rsidRPr="003805A9">
        <w:rPr>
          <w:rFonts w:ascii="Arial" w:hAnsi="Arial" w:cs="Arial"/>
          <w:sz w:val="24"/>
          <w:szCs w:val="24"/>
        </w:rPr>
        <w:t>The WBS schedule was begun using MS Project and we have continued using that to get a final version. We are now at a point where the final version has been transmitted to BNL for inclusion into the overall sPHENIX P6 file. We have used the MS Project for the information in this PMP. Changes will be made to this PMP when the P6 file is updated to reflect the MVTX in the P6 schedule.  Small changes may occur due to the fact that the MS Project had a 3.5% increase for resources each FY due to inflation and some schedule dates may change when the MVTX is merged</w:t>
      </w:r>
      <w:r w:rsidR="00C65726" w:rsidRPr="003805A9">
        <w:rPr>
          <w:rFonts w:ascii="Arial" w:hAnsi="Arial" w:cs="Arial"/>
          <w:sz w:val="24"/>
          <w:szCs w:val="24"/>
        </w:rPr>
        <w:t xml:space="preserve"> into P6.</w:t>
      </w:r>
      <w:r w:rsidR="00444531" w:rsidRPr="003805A9">
        <w:rPr>
          <w:rFonts w:ascii="Arial" w:hAnsi="Arial" w:cs="Arial"/>
          <w:sz w:val="24"/>
          <w:szCs w:val="24"/>
        </w:rPr>
        <w:t xml:space="preserve"> A simplified schedule is shown in figure </w:t>
      </w:r>
      <w:r w:rsidR="003805A9" w:rsidRPr="003805A9">
        <w:rPr>
          <w:rFonts w:ascii="Arial" w:hAnsi="Arial" w:cs="Arial"/>
          <w:sz w:val="24"/>
          <w:szCs w:val="24"/>
        </w:rPr>
        <w:t>1</w:t>
      </w:r>
      <w:r w:rsidR="00444531" w:rsidRPr="003805A9">
        <w:rPr>
          <w:rFonts w:ascii="Arial" w:hAnsi="Arial" w:cs="Arial"/>
          <w:sz w:val="24"/>
          <w:szCs w:val="24"/>
        </w:rPr>
        <w:t>.</w:t>
      </w:r>
      <w:r w:rsidR="003805A9" w:rsidRPr="003805A9">
        <w:rPr>
          <w:rFonts w:ascii="Arial" w:hAnsi="Arial" w:cs="Arial"/>
          <w:sz w:val="24"/>
          <w:szCs w:val="24"/>
        </w:rPr>
        <w:t xml:space="preserve"> The current WBS schedule is in Appendix 1</w:t>
      </w:r>
    </w:p>
    <w:p w14:paraId="2D7A669D" w14:textId="6758BB55" w:rsidR="00DD63A2" w:rsidRPr="003805A9" w:rsidRDefault="00DD63A2" w:rsidP="00940B1C">
      <w:pPr>
        <w:rPr>
          <w:rFonts w:ascii="Arial" w:hAnsi="Arial" w:cs="Arial"/>
          <w:sz w:val="24"/>
          <w:szCs w:val="24"/>
        </w:rPr>
      </w:pPr>
    </w:p>
    <w:p w14:paraId="36F6CD6F" w14:textId="1E252DFA" w:rsidR="003805A9" w:rsidRDefault="003805A9" w:rsidP="002275A9">
      <w:pPr>
        <w:autoSpaceDE w:val="0"/>
        <w:autoSpaceDN w:val="0"/>
        <w:adjustRightInd w:val="0"/>
        <w:spacing w:after="0" w:line="240" w:lineRule="auto"/>
        <w:ind w:firstLine="720"/>
        <w:rPr>
          <w:rFonts w:ascii="Arial" w:hAnsi="Arial" w:cs="Arial"/>
          <w:sz w:val="24"/>
          <w:szCs w:val="24"/>
        </w:rPr>
      </w:pPr>
      <w:r w:rsidRPr="003805A9">
        <w:rPr>
          <w:rFonts w:ascii="Arial" w:hAnsi="Arial" w:cs="Arial"/>
          <w:sz w:val="24"/>
          <w:szCs w:val="24"/>
        </w:rPr>
        <w:t>2.</w:t>
      </w:r>
      <w:r w:rsidR="002275A9">
        <w:rPr>
          <w:rFonts w:ascii="Arial" w:hAnsi="Arial" w:cs="Arial"/>
          <w:sz w:val="24"/>
          <w:szCs w:val="24"/>
        </w:rPr>
        <w:t>5</w:t>
      </w:r>
      <w:r w:rsidRPr="003805A9">
        <w:rPr>
          <w:rFonts w:ascii="Arial" w:hAnsi="Arial" w:cs="Arial"/>
          <w:sz w:val="24"/>
          <w:szCs w:val="24"/>
        </w:rPr>
        <w:t>.1 Schedule</w:t>
      </w:r>
    </w:p>
    <w:p w14:paraId="50E98D71" w14:textId="77777777" w:rsidR="002275A9" w:rsidRPr="003805A9" w:rsidRDefault="002275A9" w:rsidP="003805A9">
      <w:pPr>
        <w:autoSpaceDE w:val="0"/>
        <w:autoSpaceDN w:val="0"/>
        <w:adjustRightInd w:val="0"/>
        <w:spacing w:after="0" w:line="240" w:lineRule="auto"/>
        <w:rPr>
          <w:rFonts w:ascii="Arial" w:hAnsi="Arial" w:cs="Arial"/>
          <w:sz w:val="24"/>
          <w:szCs w:val="24"/>
        </w:rPr>
      </w:pPr>
    </w:p>
    <w:p w14:paraId="3533F670" w14:textId="11FC1167" w:rsidR="003805A9" w:rsidRP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 xml:space="preserve">The current schedule has the stave and RU production being done at CERN (started) and covered under separate funding and not part of this PMP.  Some of the detector and interface design has already begun before April 2019 through conceptual design efforts performed under the LANL LDRD.  With a MVTX start date of April 2019 the MVTX is ready for commissioning at the end of September 2022. The beginning </w:t>
      </w:r>
      <w:r w:rsidRPr="003805A9">
        <w:rPr>
          <w:rFonts w:ascii="Arial" w:hAnsi="Arial" w:cs="Arial"/>
          <w:sz w:val="24"/>
          <w:szCs w:val="24"/>
        </w:rPr>
        <w:lastRenderedPageBreak/>
        <w:t>installation of the MVTX is constrained by the finish date of the sPHENIX 7/1/2022.  The fully tested silicon barrels are delivered to BNL for full system tests in 2/26/2021. The electronics arrive at BNL on 8/8/28/20.</w:t>
      </w:r>
    </w:p>
    <w:p w14:paraId="5D6CEE17" w14:textId="52178977" w:rsidR="003805A9" w:rsidRDefault="003805A9" w:rsidP="00940B1C">
      <w:pPr>
        <w:rPr>
          <w:rFonts w:ascii="Arial" w:hAnsi="Arial" w:cs="Arial"/>
          <w:sz w:val="24"/>
          <w:szCs w:val="24"/>
        </w:rPr>
      </w:pPr>
    </w:p>
    <w:p w14:paraId="6C016F0C" w14:textId="72B66F23" w:rsidR="00A22234" w:rsidRPr="003805A9" w:rsidRDefault="00A22234" w:rsidP="00940B1C">
      <w:pPr>
        <w:rPr>
          <w:rFonts w:ascii="Arial" w:hAnsi="Arial" w:cs="Arial"/>
          <w:sz w:val="24"/>
          <w:szCs w:val="24"/>
        </w:rPr>
      </w:pPr>
      <w:r w:rsidRPr="003805A9">
        <w:rPr>
          <w:rFonts w:ascii="Arial" w:hAnsi="Arial" w:cs="Arial"/>
          <w:noProof/>
          <w:sz w:val="24"/>
          <w:szCs w:val="24"/>
        </w:rPr>
        <w:drawing>
          <wp:inline distT="0" distB="0" distL="0" distR="0" wp14:anchorId="5BD28B06" wp14:editId="59FA6CE4">
            <wp:extent cx="5943600" cy="3531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31870"/>
                    </a:xfrm>
                    <a:prstGeom prst="rect">
                      <a:avLst/>
                    </a:prstGeom>
                    <a:noFill/>
                    <a:ln>
                      <a:noFill/>
                    </a:ln>
                  </pic:spPr>
                </pic:pic>
              </a:graphicData>
            </a:graphic>
          </wp:inline>
        </w:drawing>
      </w:r>
    </w:p>
    <w:p w14:paraId="354B5D96" w14:textId="2D0F6473" w:rsidR="006E142A" w:rsidRDefault="006E142A" w:rsidP="00A22234">
      <w:pPr>
        <w:rPr>
          <w:rFonts w:ascii="Arial" w:hAnsi="Arial" w:cs="Arial"/>
          <w:sz w:val="24"/>
          <w:szCs w:val="24"/>
        </w:rPr>
      </w:pPr>
      <w:r>
        <w:rPr>
          <w:rFonts w:ascii="Arial" w:hAnsi="Arial" w:cs="Arial"/>
          <w:sz w:val="24"/>
          <w:szCs w:val="24"/>
        </w:rPr>
        <w:t>Figure 1. Simplified schedule showing the MVTX will be ready for beam at the end of FY 2022.</w:t>
      </w:r>
    </w:p>
    <w:p w14:paraId="1B98CB23" w14:textId="0F9A80C9" w:rsidR="00A22234" w:rsidRPr="003805A9" w:rsidRDefault="00A22234" w:rsidP="00A22234">
      <w:pPr>
        <w:rPr>
          <w:rFonts w:ascii="Arial" w:hAnsi="Arial" w:cs="Arial"/>
          <w:sz w:val="24"/>
          <w:szCs w:val="24"/>
        </w:rPr>
      </w:pPr>
      <w:r w:rsidRPr="003805A9">
        <w:rPr>
          <w:rFonts w:ascii="Arial" w:hAnsi="Arial" w:cs="Arial"/>
          <w:sz w:val="24"/>
          <w:szCs w:val="24"/>
        </w:rPr>
        <w:t>The fully tested half barrels arrive at BNL for testing and installation in sPHENIX at BNL in mid FY2021.</w:t>
      </w:r>
    </w:p>
    <w:p w14:paraId="14730523" w14:textId="77777777" w:rsidR="00A22234" w:rsidRDefault="00A22234" w:rsidP="003805A9">
      <w:pPr>
        <w:autoSpaceDE w:val="0"/>
        <w:autoSpaceDN w:val="0"/>
        <w:adjustRightInd w:val="0"/>
        <w:spacing w:after="0" w:line="240" w:lineRule="auto"/>
        <w:rPr>
          <w:rFonts w:ascii="Arial" w:hAnsi="Arial" w:cs="Arial"/>
          <w:sz w:val="24"/>
          <w:szCs w:val="24"/>
        </w:rPr>
      </w:pPr>
    </w:p>
    <w:p w14:paraId="003E8F83" w14:textId="70A57E4E" w:rsidR="003805A9" w:rsidRDefault="003805A9" w:rsidP="002275A9">
      <w:pPr>
        <w:autoSpaceDE w:val="0"/>
        <w:autoSpaceDN w:val="0"/>
        <w:adjustRightInd w:val="0"/>
        <w:spacing w:after="0" w:line="240" w:lineRule="auto"/>
        <w:ind w:firstLine="720"/>
        <w:rPr>
          <w:rFonts w:ascii="Arial" w:hAnsi="Arial" w:cs="Arial"/>
          <w:sz w:val="24"/>
          <w:szCs w:val="24"/>
        </w:rPr>
      </w:pPr>
      <w:r w:rsidRPr="003805A9">
        <w:rPr>
          <w:rFonts w:ascii="Arial" w:hAnsi="Arial" w:cs="Arial"/>
          <w:sz w:val="24"/>
          <w:szCs w:val="24"/>
        </w:rPr>
        <w:t>2.</w:t>
      </w:r>
      <w:r w:rsidR="002275A9">
        <w:rPr>
          <w:rFonts w:ascii="Arial" w:hAnsi="Arial" w:cs="Arial"/>
          <w:sz w:val="24"/>
          <w:szCs w:val="24"/>
        </w:rPr>
        <w:t>5</w:t>
      </w:r>
      <w:r w:rsidRPr="003805A9">
        <w:rPr>
          <w:rFonts w:ascii="Arial" w:hAnsi="Arial" w:cs="Arial"/>
          <w:sz w:val="24"/>
          <w:szCs w:val="24"/>
        </w:rPr>
        <w:t>.2 Milestones</w:t>
      </w:r>
    </w:p>
    <w:p w14:paraId="17EB69BA" w14:textId="77777777" w:rsidR="002275A9" w:rsidRPr="003805A9" w:rsidRDefault="002275A9" w:rsidP="003805A9">
      <w:pPr>
        <w:autoSpaceDE w:val="0"/>
        <w:autoSpaceDN w:val="0"/>
        <w:adjustRightInd w:val="0"/>
        <w:spacing w:after="0" w:line="240" w:lineRule="auto"/>
        <w:rPr>
          <w:rFonts w:ascii="Arial" w:hAnsi="Arial" w:cs="Arial"/>
          <w:sz w:val="24"/>
          <w:szCs w:val="24"/>
        </w:rPr>
      </w:pPr>
    </w:p>
    <w:p w14:paraId="7B143900" w14:textId="77777777" w:rsidR="003805A9" w:rsidRP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Milestones will be used to mark the progress of scheduled tasks. A milestone may</w:t>
      </w:r>
    </w:p>
    <w:p w14:paraId="51DBBFD8" w14:textId="77777777" w:rsidR="003805A9" w:rsidRP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mark the start, an interim step, or the end of one or more activities as needed to</w:t>
      </w:r>
    </w:p>
    <w:p w14:paraId="765B99A8" w14:textId="6AC8C904" w:rsidR="003805A9" w:rsidRP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 xml:space="preserve">provide insight into the project’s progress. The following </w:t>
      </w:r>
      <w:r w:rsidR="008C051F">
        <w:rPr>
          <w:rFonts w:ascii="Arial" w:hAnsi="Arial" w:cs="Arial"/>
          <w:sz w:val="24"/>
          <w:szCs w:val="24"/>
        </w:rPr>
        <w:t>Table 4</w:t>
      </w:r>
      <w:r w:rsidRPr="003805A9">
        <w:rPr>
          <w:rFonts w:ascii="Arial" w:hAnsi="Arial" w:cs="Arial"/>
          <w:sz w:val="24"/>
          <w:szCs w:val="24"/>
        </w:rPr>
        <w:t xml:space="preserve"> detail the high level</w:t>
      </w:r>
    </w:p>
    <w:p w14:paraId="3322BA38" w14:textId="77777777" w:rsidR="003805A9" w:rsidRP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milestones for the project. In addition, there are several lower level milestones in</w:t>
      </w:r>
    </w:p>
    <w:p w14:paraId="564EB74E" w14:textId="172B5B29" w:rsidR="003805A9" w:rsidRP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the project WBS schedule.</w:t>
      </w:r>
    </w:p>
    <w:p w14:paraId="7554E50B" w14:textId="33D4985D" w:rsidR="003805A9" w:rsidRDefault="003805A9" w:rsidP="003805A9">
      <w:pPr>
        <w:autoSpaceDE w:val="0"/>
        <w:autoSpaceDN w:val="0"/>
        <w:adjustRightInd w:val="0"/>
        <w:spacing w:after="0" w:line="240" w:lineRule="auto"/>
        <w:rPr>
          <w:rFonts w:ascii="Arial" w:hAnsi="Arial" w:cs="Arial"/>
          <w:sz w:val="24"/>
          <w:szCs w:val="24"/>
        </w:rPr>
      </w:pPr>
    </w:p>
    <w:p w14:paraId="7DE5EFA3" w14:textId="02798795" w:rsidR="008C051F" w:rsidRPr="008C051F" w:rsidRDefault="008C051F" w:rsidP="003805A9">
      <w:pPr>
        <w:autoSpaceDE w:val="0"/>
        <w:autoSpaceDN w:val="0"/>
        <w:adjustRightInd w:val="0"/>
        <w:spacing w:after="0" w:line="240" w:lineRule="auto"/>
        <w:rPr>
          <w:rFonts w:ascii="Arial" w:hAnsi="Arial" w:cs="Arial"/>
          <w:b/>
          <w:bCs/>
          <w:sz w:val="24"/>
          <w:szCs w:val="24"/>
        </w:rPr>
      </w:pPr>
      <w:r w:rsidRPr="008C051F">
        <w:rPr>
          <w:rFonts w:ascii="Arial" w:hAnsi="Arial" w:cs="Arial"/>
          <w:b/>
          <w:bCs/>
          <w:sz w:val="24"/>
          <w:szCs w:val="24"/>
        </w:rPr>
        <w:t>Table 4 Milestones</w:t>
      </w:r>
    </w:p>
    <w:tbl>
      <w:tblPr>
        <w:tblStyle w:val="TableGrid"/>
        <w:tblW w:w="0" w:type="auto"/>
        <w:tblLook w:val="04A0" w:firstRow="1" w:lastRow="0" w:firstColumn="1" w:lastColumn="0" w:noHBand="0" w:noVBand="1"/>
      </w:tblPr>
      <w:tblGrid>
        <w:gridCol w:w="4675"/>
        <w:gridCol w:w="4675"/>
      </w:tblGrid>
      <w:tr w:rsidR="003805A9" w:rsidRPr="003805A9" w14:paraId="37B93635" w14:textId="77777777" w:rsidTr="003805A9">
        <w:tc>
          <w:tcPr>
            <w:tcW w:w="4675" w:type="dxa"/>
          </w:tcPr>
          <w:p w14:paraId="6F5E8D55" w14:textId="0B87BC54" w:rsidR="003805A9" w:rsidRPr="003805A9" w:rsidRDefault="003805A9" w:rsidP="003805A9">
            <w:pPr>
              <w:autoSpaceDE w:val="0"/>
              <w:autoSpaceDN w:val="0"/>
              <w:adjustRightInd w:val="0"/>
              <w:rPr>
                <w:rFonts w:ascii="Arial" w:hAnsi="Arial" w:cs="Arial"/>
                <w:sz w:val="24"/>
                <w:szCs w:val="24"/>
              </w:rPr>
            </w:pPr>
            <w:r w:rsidRPr="003805A9">
              <w:rPr>
                <w:rFonts w:ascii="Arial" w:hAnsi="Arial" w:cs="Arial"/>
                <w:sz w:val="24"/>
                <w:szCs w:val="24"/>
              </w:rPr>
              <w:t>Milestone</w:t>
            </w:r>
          </w:p>
        </w:tc>
        <w:tc>
          <w:tcPr>
            <w:tcW w:w="4675" w:type="dxa"/>
          </w:tcPr>
          <w:p w14:paraId="1960F58F" w14:textId="5308766D" w:rsidR="003805A9" w:rsidRPr="003805A9" w:rsidRDefault="003805A9" w:rsidP="003805A9">
            <w:pPr>
              <w:autoSpaceDE w:val="0"/>
              <w:autoSpaceDN w:val="0"/>
              <w:adjustRightInd w:val="0"/>
              <w:rPr>
                <w:rFonts w:ascii="Arial" w:hAnsi="Arial" w:cs="Arial"/>
                <w:sz w:val="24"/>
                <w:szCs w:val="24"/>
              </w:rPr>
            </w:pPr>
            <w:r w:rsidRPr="003805A9">
              <w:rPr>
                <w:rFonts w:ascii="Arial" w:hAnsi="Arial" w:cs="Arial"/>
                <w:sz w:val="24"/>
                <w:szCs w:val="24"/>
              </w:rPr>
              <w:t>Date</w:t>
            </w:r>
          </w:p>
        </w:tc>
      </w:tr>
      <w:tr w:rsidR="003805A9" w:rsidRPr="003805A9" w14:paraId="7239C542" w14:textId="77777777" w:rsidTr="003805A9">
        <w:tc>
          <w:tcPr>
            <w:tcW w:w="4675" w:type="dxa"/>
          </w:tcPr>
          <w:p w14:paraId="57615F20" w14:textId="48145AC6" w:rsidR="003805A9" w:rsidRPr="003805A9" w:rsidRDefault="003805A9" w:rsidP="003805A9">
            <w:pPr>
              <w:autoSpaceDE w:val="0"/>
              <w:autoSpaceDN w:val="0"/>
              <w:adjustRightInd w:val="0"/>
              <w:rPr>
                <w:rFonts w:ascii="Arial" w:hAnsi="Arial" w:cs="Arial"/>
                <w:sz w:val="24"/>
                <w:szCs w:val="24"/>
              </w:rPr>
            </w:pPr>
            <w:r w:rsidRPr="003805A9">
              <w:rPr>
                <w:rFonts w:ascii="Arial" w:hAnsi="Arial" w:cs="Arial"/>
                <w:sz w:val="24"/>
                <w:szCs w:val="24"/>
              </w:rPr>
              <w:t>Start Construction</w:t>
            </w:r>
          </w:p>
        </w:tc>
        <w:tc>
          <w:tcPr>
            <w:tcW w:w="4675" w:type="dxa"/>
          </w:tcPr>
          <w:p w14:paraId="4D8B4097" w14:textId="02C1793A" w:rsidR="003805A9" w:rsidRPr="003805A9" w:rsidRDefault="003805A9" w:rsidP="003805A9">
            <w:pPr>
              <w:autoSpaceDE w:val="0"/>
              <w:autoSpaceDN w:val="0"/>
              <w:adjustRightInd w:val="0"/>
              <w:rPr>
                <w:rFonts w:ascii="Arial" w:hAnsi="Arial" w:cs="Arial"/>
                <w:sz w:val="24"/>
                <w:szCs w:val="24"/>
              </w:rPr>
            </w:pPr>
            <w:r w:rsidRPr="003805A9">
              <w:rPr>
                <w:rFonts w:ascii="Arial" w:hAnsi="Arial" w:cs="Arial"/>
                <w:sz w:val="24"/>
                <w:szCs w:val="24"/>
              </w:rPr>
              <w:t>3</w:t>
            </w:r>
            <w:r w:rsidRPr="003805A9">
              <w:rPr>
                <w:rFonts w:ascii="Arial" w:hAnsi="Arial" w:cs="Arial"/>
                <w:sz w:val="24"/>
                <w:szCs w:val="24"/>
                <w:vertAlign w:val="superscript"/>
              </w:rPr>
              <w:t>rd</w:t>
            </w:r>
            <w:r w:rsidRPr="003805A9">
              <w:rPr>
                <w:rFonts w:ascii="Arial" w:hAnsi="Arial" w:cs="Arial"/>
                <w:sz w:val="24"/>
                <w:szCs w:val="24"/>
              </w:rPr>
              <w:t xml:space="preserve"> </w:t>
            </w:r>
            <w:proofErr w:type="spellStart"/>
            <w:r w:rsidRPr="003805A9">
              <w:rPr>
                <w:rFonts w:ascii="Arial" w:hAnsi="Arial" w:cs="Arial"/>
                <w:sz w:val="24"/>
                <w:szCs w:val="24"/>
              </w:rPr>
              <w:t>Qtr</w:t>
            </w:r>
            <w:proofErr w:type="spellEnd"/>
            <w:r w:rsidRPr="003805A9">
              <w:rPr>
                <w:rFonts w:ascii="Arial" w:hAnsi="Arial" w:cs="Arial"/>
                <w:sz w:val="24"/>
                <w:szCs w:val="24"/>
              </w:rPr>
              <w:t xml:space="preserve"> FY2019</w:t>
            </w:r>
          </w:p>
        </w:tc>
      </w:tr>
      <w:tr w:rsidR="003805A9" w:rsidRPr="003805A9" w14:paraId="34E9FD8A" w14:textId="77777777" w:rsidTr="003805A9">
        <w:tc>
          <w:tcPr>
            <w:tcW w:w="4675" w:type="dxa"/>
          </w:tcPr>
          <w:p w14:paraId="2D515E1A" w14:textId="484CC96E" w:rsidR="003805A9" w:rsidRPr="003805A9" w:rsidRDefault="003805A9" w:rsidP="003805A9">
            <w:pPr>
              <w:autoSpaceDE w:val="0"/>
              <w:autoSpaceDN w:val="0"/>
              <w:adjustRightInd w:val="0"/>
              <w:rPr>
                <w:rFonts w:ascii="Arial" w:hAnsi="Arial" w:cs="Arial"/>
                <w:sz w:val="24"/>
                <w:szCs w:val="24"/>
              </w:rPr>
            </w:pPr>
            <w:r w:rsidRPr="003805A9">
              <w:rPr>
                <w:rFonts w:ascii="Arial" w:hAnsi="Arial" w:cs="Arial"/>
                <w:sz w:val="24"/>
                <w:szCs w:val="24"/>
              </w:rPr>
              <w:t>MVTX Final Design Review</w:t>
            </w:r>
          </w:p>
        </w:tc>
        <w:tc>
          <w:tcPr>
            <w:tcW w:w="4675" w:type="dxa"/>
          </w:tcPr>
          <w:p w14:paraId="2593DF4B" w14:textId="0FECCCBF" w:rsidR="003805A9" w:rsidRPr="003805A9" w:rsidRDefault="003805A9" w:rsidP="003805A9">
            <w:pPr>
              <w:autoSpaceDE w:val="0"/>
              <w:autoSpaceDN w:val="0"/>
              <w:adjustRightInd w:val="0"/>
              <w:rPr>
                <w:rFonts w:ascii="Arial" w:hAnsi="Arial" w:cs="Arial"/>
                <w:sz w:val="24"/>
                <w:szCs w:val="24"/>
              </w:rPr>
            </w:pPr>
            <w:r w:rsidRPr="003805A9">
              <w:rPr>
                <w:rFonts w:ascii="Arial" w:hAnsi="Arial" w:cs="Arial"/>
                <w:sz w:val="24"/>
                <w:szCs w:val="24"/>
              </w:rPr>
              <w:t>1</w:t>
            </w:r>
            <w:r w:rsidRPr="003805A9">
              <w:rPr>
                <w:rFonts w:ascii="Arial" w:hAnsi="Arial" w:cs="Arial"/>
                <w:sz w:val="24"/>
                <w:szCs w:val="24"/>
                <w:vertAlign w:val="superscript"/>
              </w:rPr>
              <w:t>st</w:t>
            </w:r>
            <w:r w:rsidRPr="003805A9">
              <w:rPr>
                <w:rFonts w:ascii="Arial" w:hAnsi="Arial" w:cs="Arial"/>
                <w:sz w:val="24"/>
                <w:szCs w:val="24"/>
              </w:rPr>
              <w:t xml:space="preserve"> QTR FY2021</w:t>
            </w:r>
          </w:p>
        </w:tc>
      </w:tr>
      <w:tr w:rsidR="003805A9" w:rsidRPr="003805A9" w14:paraId="62AF90C6" w14:textId="77777777" w:rsidTr="003805A9">
        <w:tc>
          <w:tcPr>
            <w:tcW w:w="4675" w:type="dxa"/>
          </w:tcPr>
          <w:p w14:paraId="0FB060F1" w14:textId="3A652853" w:rsidR="003805A9" w:rsidRPr="003805A9" w:rsidRDefault="003805A9" w:rsidP="003805A9">
            <w:pPr>
              <w:autoSpaceDE w:val="0"/>
              <w:autoSpaceDN w:val="0"/>
              <w:adjustRightInd w:val="0"/>
              <w:rPr>
                <w:rFonts w:ascii="Arial" w:hAnsi="Arial" w:cs="Arial"/>
                <w:sz w:val="24"/>
                <w:szCs w:val="24"/>
              </w:rPr>
            </w:pPr>
            <w:r w:rsidRPr="003805A9">
              <w:rPr>
                <w:rFonts w:ascii="Arial" w:hAnsi="Arial" w:cs="Arial"/>
                <w:sz w:val="24"/>
                <w:szCs w:val="24"/>
              </w:rPr>
              <w:t>Half Barrels Delivered to BNL</w:t>
            </w:r>
          </w:p>
        </w:tc>
        <w:tc>
          <w:tcPr>
            <w:tcW w:w="4675" w:type="dxa"/>
          </w:tcPr>
          <w:p w14:paraId="7C83ADCD" w14:textId="606A43E9" w:rsidR="003805A9" w:rsidRPr="003805A9" w:rsidRDefault="003805A9" w:rsidP="003805A9">
            <w:pPr>
              <w:autoSpaceDE w:val="0"/>
              <w:autoSpaceDN w:val="0"/>
              <w:adjustRightInd w:val="0"/>
              <w:rPr>
                <w:rFonts w:ascii="Arial" w:hAnsi="Arial" w:cs="Arial"/>
                <w:sz w:val="24"/>
                <w:szCs w:val="24"/>
              </w:rPr>
            </w:pPr>
            <w:r w:rsidRPr="003805A9">
              <w:rPr>
                <w:rFonts w:ascii="Arial" w:hAnsi="Arial" w:cs="Arial"/>
                <w:sz w:val="24"/>
                <w:szCs w:val="24"/>
              </w:rPr>
              <w:t>3</w:t>
            </w:r>
            <w:r w:rsidRPr="003805A9">
              <w:rPr>
                <w:rFonts w:ascii="Arial" w:hAnsi="Arial" w:cs="Arial"/>
                <w:sz w:val="24"/>
                <w:szCs w:val="24"/>
                <w:vertAlign w:val="superscript"/>
              </w:rPr>
              <w:t>rd</w:t>
            </w:r>
            <w:r w:rsidRPr="003805A9">
              <w:rPr>
                <w:rFonts w:ascii="Arial" w:hAnsi="Arial" w:cs="Arial"/>
                <w:sz w:val="24"/>
                <w:szCs w:val="24"/>
              </w:rPr>
              <w:t xml:space="preserve"> </w:t>
            </w:r>
            <w:proofErr w:type="spellStart"/>
            <w:r w:rsidRPr="003805A9">
              <w:rPr>
                <w:rFonts w:ascii="Arial" w:hAnsi="Arial" w:cs="Arial"/>
                <w:sz w:val="24"/>
                <w:szCs w:val="24"/>
              </w:rPr>
              <w:t>Qtr</w:t>
            </w:r>
            <w:proofErr w:type="spellEnd"/>
            <w:r w:rsidRPr="003805A9">
              <w:rPr>
                <w:rFonts w:ascii="Arial" w:hAnsi="Arial" w:cs="Arial"/>
                <w:sz w:val="24"/>
                <w:szCs w:val="24"/>
              </w:rPr>
              <w:t xml:space="preserve"> FY2021</w:t>
            </w:r>
          </w:p>
        </w:tc>
      </w:tr>
      <w:tr w:rsidR="003805A9" w:rsidRPr="003805A9" w14:paraId="61B3E36F" w14:textId="77777777" w:rsidTr="003805A9">
        <w:tc>
          <w:tcPr>
            <w:tcW w:w="4675" w:type="dxa"/>
          </w:tcPr>
          <w:p w14:paraId="0451ED26" w14:textId="25FE62F4" w:rsidR="003805A9" w:rsidRPr="003805A9" w:rsidRDefault="003805A9" w:rsidP="003805A9">
            <w:pPr>
              <w:autoSpaceDE w:val="0"/>
              <w:autoSpaceDN w:val="0"/>
              <w:adjustRightInd w:val="0"/>
              <w:rPr>
                <w:rFonts w:ascii="Arial" w:hAnsi="Arial" w:cs="Arial"/>
                <w:sz w:val="24"/>
                <w:szCs w:val="24"/>
              </w:rPr>
            </w:pPr>
            <w:r w:rsidRPr="003805A9">
              <w:rPr>
                <w:rFonts w:ascii="Arial" w:hAnsi="Arial" w:cs="Arial"/>
                <w:sz w:val="24"/>
                <w:szCs w:val="24"/>
              </w:rPr>
              <w:t>Installation Finished</w:t>
            </w:r>
          </w:p>
        </w:tc>
        <w:tc>
          <w:tcPr>
            <w:tcW w:w="4675" w:type="dxa"/>
          </w:tcPr>
          <w:p w14:paraId="56038FE3" w14:textId="0C1ECA47" w:rsidR="003805A9" w:rsidRPr="003805A9" w:rsidRDefault="003805A9" w:rsidP="003805A9">
            <w:pPr>
              <w:autoSpaceDE w:val="0"/>
              <w:autoSpaceDN w:val="0"/>
              <w:adjustRightInd w:val="0"/>
              <w:rPr>
                <w:rFonts w:ascii="Arial" w:hAnsi="Arial" w:cs="Arial"/>
                <w:sz w:val="24"/>
                <w:szCs w:val="24"/>
              </w:rPr>
            </w:pPr>
            <w:r w:rsidRPr="003805A9">
              <w:rPr>
                <w:rFonts w:ascii="Arial" w:hAnsi="Arial" w:cs="Arial"/>
                <w:sz w:val="24"/>
                <w:szCs w:val="24"/>
              </w:rPr>
              <w:t>4</w:t>
            </w:r>
            <w:r w:rsidRPr="003805A9">
              <w:rPr>
                <w:rFonts w:ascii="Arial" w:hAnsi="Arial" w:cs="Arial"/>
                <w:sz w:val="24"/>
                <w:szCs w:val="24"/>
                <w:vertAlign w:val="superscript"/>
              </w:rPr>
              <w:t>th</w:t>
            </w:r>
            <w:r w:rsidRPr="003805A9">
              <w:rPr>
                <w:rFonts w:ascii="Arial" w:hAnsi="Arial" w:cs="Arial"/>
                <w:sz w:val="24"/>
                <w:szCs w:val="24"/>
              </w:rPr>
              <w:t xml:space="preserve"> </w:t>
            </w:r>
            <w:proofErr w:type="spellStart"/>
            <w:r w:rsidRPr="003805A9">
              <w:rPr>
                <w:rFonts w:ascii="Arial" w:hAnsi="Arial" w:cs="Arial"/>
                <w:sz w:val="24"/>
                <w:szCs w:val="24"/>
              </w:rPr>
              <w:t>Qtr</w:t>
            </w:r>
            <w:proofErr w:type="spellEnd"/>
            <w:r w:rsidRPr="003805A9">
              <w:rPr>
                <w:rFonts w:ascii="Arial" w:hAnsi="Arial" w:cs="Arial"/>
                <w:sz w:val="24"/>
                <w:szCs w:val="24"/>
              </w:rPr>
              <w:t xml:space="preserve"> FY2022</w:t>
            </w:r>
          </w:p>
        </w:tc>
      </w:tr>
      <w:tr w:rsidR="003805A9" w:rsidRPr="003805A9" w14:paraId="03A31332" w14:textId="77777777" w:rsidTr="003805A9">
        <w:tc>
          <w:tcPr>
            <w:tcW w:w="4675" w:type="dxa"/>
          </w:tcPr>
          <w:p w14:paraId="4D290FB6" w14:textId="27B03BE0" w:rsidR="003805A9" w:rsidRPr="003805A9" w:rsidRDefault="003805A9" w:rsidP="003805A9">
            <w:pPr>
              <w:autoSpaceDE w:val="0"/>
              <w:autoSpaceDN w:val="0"/>
              <w:adjustRightInd w:val="0"/>
              <w:rPr>
                <w:rFonts w:ascii="Arial" w:hAnsi="Arial" w:cs="Arial"/>
                <w:sz w:val="24"/>
                <w:szCs w:val="24"/>
              </w:rPr>
            </w:pPr>
            <w:r w:rsidRPr="003805A9">
              <w:rPr>
                <w:rFonts w:ascii="Arial" w:hAnsi="Arial" w:cs="Arial"/>
                <w:sz w:val="24"/>
                <w:szCs w:val="24"/>
              </w:rPr>
              <w:lastRenderedPageBreak/>
              <w:t xml:space="preserve"> Ready for Beam</w:t>
            </w:r>
          </w:p>
        </w:tc>
        <w:tc>
          <w:tcPr>
            <w:tcW w:w="4675" w:type="dxa"/>
          </w:tcPr>
          <w:p w14:paraId="3B4C92A8" w14:textId="6120A646" w:rsidR="003805A9" w:rsidRPr="003805A9" w:rsidRDefault="003805A9" w:rsidP="003805A9">
            <w:pPr>
              <w:autoSpaceDE w:val="0"/>
              <w:autoSpaceDN w:val="0"/>
              <w:adjustRightInd w:val="0"/>
              <w:rPr>
                <w:rFonts w:ascii="Arial" w:hAnsi="Arial" w:cs="Arial"/>
                <w:sz w:val="24"/>
                <w:szCs w:val="24"/>
              </w:rPr>
            </w:pPr>
            <w:r w:rsidRPr="003805A9">
              <w:rPr>
                <w:rFonts w:ascii="Arial" w:hAnsi="Arial" w:cs="Arial"/>
                <w:sz w:val="24"/>
                <w:szCs w:val="24"/>
              </w:rPr>
              <w:t>1</w:t>
            </w:r>
            <w:r w:rsidRPr="003805A9">
              <w:rPr>
                <w:rFonts w:ascii="Arial" w:hAnsi="Arial" w:cs="Arial"/>
                <w:sz w:val="24"/>
                <w:szCs w:val="24"/>
                <w:vertAlign w:val="superscript"/>
              </w:rPr>
              <w:t>st</w:t>
            </w:r>
            <w:r w:rsidRPr="003805A9">
              <w:rPr>
                <w:rFonts w:ascii="Arial" w:hAnsi="Arial" w:cs="Arial"/>
                <w:sz w:val="24"/>
                <w:szCs w:val="24"/>
              </w:rPr>
              <w:t xml:space="preserve"> </w:t>
            </w:r>
            <w:proofErr w:type="spellStart"/>
            <w:r w:rsidRPr="003805A9">
              <w:rPr>
                <w:rFonts w:ascii="Arial" w:hAnsi="Arial" w:cs="Arial"/>
                <w:sz w:val="24"/>
                <w:szCs w:val="24"/>
              </w:rPr>
              <w:t>Qtr</w:t>
            </w:r>
            <w:proofErr w:type="spellEnd"/>
            <w:r w:rsidRPr="003805A9">
              <w:rPr>
                <w:rFonts w:ascii="Arial" w:hAnsi="Arial" w:cs="Arial"/>
                <w:sz w:val="24"/>
                <w:szCs w:val="24"/>
              </w:rPr>
              <w:t xml:space="preserve"> FY2023</w:t>
            </w:r>
          </w:p>
        </w:tc>
      </w:tr>
    </w:tbl>
    <w:p w14:paraId="44A986EE" w14:textId="77777777" w:rsidR="003805A9" w:rsidRPr="003805A9" w:rsidRDefault="003805A9" w:rsidP="003805A9">
      <w:pPr>
        <w:autoSpaceDE w:val="0"/>
        <w:autoSpaceDN w:val="0"/>
        <w:adjustRightInd w:val="0"/>
        <w:spacing w:after="0" w:line="240" w:lineRule="auto"/>
        <w:rPr>
          <w:rFonts w:ascii="Arial" w:hAnsi="Arial" w:cs="Arial"/>
          <w:sz w:val="24"/>
          <w:szCs w:val="24"/>
        </w:rPr>
      </w:pPr>
    </w:p>
    <w:p w14:paraId="12217730" w14:textId="77777777" w:rsidR="003805A9" w:rsidRPr="003805A9" w:rsidRDefault="003805A9" w:rsidP="003805A9">
      <w:pPr>
        <w:autoSpaceDE w:val="0"/>
        <w:autoSpaceDN w:val="0"/>
        <w:adjustRightInd w:val="0"/>
        <w:spacing w:after="0" w:line="240" w:lineRule="auto"/>
        <w:rPr>
          <w:rFonts w:ascii="Arial" w:hAnsi="Arial" w:cs="Arial"/>
          <w:sz w:val="24"/>
          <w:szCs w:val="24"/>
        </w:rPr>
      </w:pPr>
    </w:p>
    <w:p w14:paraId="13E3F3EF" w14:textId="68C900A2" w:rsidR="003805A9" w:rsidRDefault="003805A9" w:rsidP="00471ED8">
      <w:pPr>
        <w:autoSpaceDE w:val="0"/>
        <w:autoSpaceDN w:val="0"/>
        <w:adjustRightInd w:val="0"/>
        <w:spacing w:after="0" w:line="240" w:lineRule="auto"/>
        <w:ind w:firstLine="720"/>
        <w:rPr>
          <w:rFonts w:ascii="Arial" w:hAnsi="Arial" w:cs="Arial"/>
          <w:sz w:val="24"/>
          <w:szCs w:val="24"/>
        </w:rPr>
      </w:pPr>
      <w:r w:rsidRPr="003805A9">
        <w:rPr>
          <w:rFonts w:ascii="Arial" w:hAnsi="Arial" w:cs="Arial"/>
          <w:sz w:val="24"/>
          <w:szCs w:val="24"/>
        </w:rPr>
        <w:t>2.</w:t>
      </w:r>
      <w:r w:rsidR="00471ED8">
        <w:rPr>
          <w:rFonts w:ascii="Arial" w:hAnsi="Arial" w:cs="Arial"/>
          <w:sz w:val="24"/>
          <w:szCs w:val="24"/>
        </w:rPr>
        <w:t>5</w:t>
      </w:r>
      <w:r w:rsidRPr="003805A9">
        <w:rPr>
          <w:rFonts w:ascii="Arial" w:hAnsi="Arial" w:cs="Arial"/>
          <w:sz w:val="24"/>
          <w:szCs w:val="24"/>
        </w:rPr>
        <w:t>.3 Work Breakdown Structure (WBS)</w:t>
      </w:r>
    </w:p>
    <w:p w14:paraId="611E73CC" w14:textId="77777777" w:rsidR="008967D4" w:rsidRPr="003805A9" w:rsidRDefault="008967D4" w:rsidP="003805A9">
      <w:pPr>
        <w:autoSpaceDE w:val="0"/>
        <w:autoSpaceDN w:val="0"/>
        <w:adjustRightInd w:val="0"/>
        <w:spacing w:after="0" w:line="240" w:lineRule="auto"/>
        <w:rPr>
          <w:rFonts w:ascii="Arial" w:hAnsi="Arial" w:cs="Arial"/>
          <w:sz w:val="24"/>
          <w:szCs w:val="24"/>
        </w:rPr>
      </w:pPr>
    </w:p>
    <w:p w14:paraId="2B11D438" w14:textId="6A876A33" w:rsidR="003805A9" w:rsidRP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The MVTX project has been organized into a WBS for the purposes of planning,</w:t>
      </w:r>
    </w:p>
    <w:p w14:paraId="66072B41" w14:textId="0B531DFF" w:rsid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 xml:space="preserve">managing and reporting project activities. Work elements are defined to </w:t>
      </w:r>
      <w:r w:rsidR="008C051F">
        <w:rPr>
          <w:rFonts w:ascii="Arial" w:hAnsi="Arial" w:cs="Arial"/>
          <w:sz w:val="24"/>
          <w:szCs w:val="24"/>
        </w:rPr>
        <w:t>in Table 5</w:t>
      </w:r>
    </w:p>
    <w:p w14:paraId="44EBD1A6" w14:textId="1E0B50E3" w:rsidR="006E142A" w:rsidRPr="0031206A" w:rsidRDefault="0031206A" w:rsidP="003805A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Table 5 Work Breakdown Elements</w:t>
      </w:r>
    </w:p>
    <w:tbl>
      <w:tblPr>
        <w:tblStyle w:val="TableGrid"/>
        <w:tblW w:w="0" w:type="auto"/>
        <w:tblLook w:val="04A0" w:firstRow="1" w:lastRow="0" w:firstColumn="1" w:lastColumn="0" w:noHBand="0" w:noVBand="1"/>
      </w:tblPr>
      <w:tblGrid>
        <w:gridCol w:w="805"/>
        <w:gridCol w:w="2250"/>
        <w:gridCol w:w="6295"/>
      </w:tblGrid>
      <w:tr w:rsidR="006E142A" w14:paraId="6B7A93EA" w14:textId="77777777" w:rsidTr="00567308">
        <w:tc>
          <w:tcPr>
            <w:tcW w:w="805" w:type="dxa"/>
          </w:tcPr>
          <w:p w14:paraId="09D4DE8B" w14:textId="2DB27301" w:rsidR="006E142A" w:rsidRDefault="006E142A" w:rsidP="003805A9">
            <w:pPr>
              <w:autoSpaceDE w:val="0"/>
              <w:autoSpaceDN w:val="0"/>
              <w:adjustRightInd w:val="0"/>
              <w:rPr>
                <w:rFonts w:ascii="Arial" w:hAnsi="Arial" w:cs="Arial"/>
                <w:sz w:val="24"/>
                <w:szCs w:val="24"/>
              </w:rPr>
            </w:pPr>
            <w:r>
              <w:rPr>
                <w:rFonts w:ascii="Arial" w:hAnsi="Arial" w:cs="Arial"/>
                <w:sz w:val="24"/>
                <w:szCs w:val="24"/>
              </w:rPr>
              <w:t>WBS</w:t>
            </w:r>
          </w:p>
        </w:tc>
        <w:tc>
          <w:tcPr>
            <w:tcW w:w="2250" w:type="dxa"/>
          </w:tcPr>
          <w:p w14:paraId="466A401B" w14:textId="008B9A76" w:rsidR="006E142A" w:rsidRDefault="00567308" w:rsidP="003805A9">
            <w:pPr>
              <w:autoSpaceDE w:val="0"/>
              <w:autoSpaceDN w:val="0"/>
              <w:adjustRightInd w:val="0"/>
              <w:rPr>
                <w:rFonts w:ascii="Arial" w:hAnsi="Arial" w:cs="Arial"/>
                <w:sz w:val="24"/>
                <w:szCs w:val="24"/>
              </w:rPr>
            </w:pPr>
            <w:r>
              <w:rPr>
                <w:rFonts w:ascii="Arial" w:hAnsi="Arial" w:cs="Arial"/>
                <w:sz w:val="24"/>
                <w:szCs w:val="24"/>
              </w:rPr>
              <w:t>Work Elements</w:t>
            </w:r>
          </w:p>
        </w:tc>
        <w:tc>
          <w:tcPr>
            <w:tcW w:w="6295" w:type="dxa"/>
          </w:tcPr>
          <w:p w14:paraId="752A1BD4" w14:textId="21CD2821" w:rsidR="00567308" w:rsidRDefault="00567308" w:rsidP="003805A9">
            <w:pPr>
              <w:autoSpaceDE w:val="0"/>
              <w:autoSpaceDN w:val="0"/>
              <w:adjustRightInd w:val="0"/>
              <w:rPr>
                <w:rFonts w:ascii="Arial" w:hAnsi="Arial" w:cs="Arial"/>
                <w:sz w:val="24"/>
                <w:szCs w:val="24"/>
              </w:rPr>
            </w:pPr>
            <w:r>
              <w:rPr>
                <w:rFonts w:ascii="Arial" w:hAnsi="Arial" w:cs="Arial"/>
                <w:sz w:val="24"/>
                <w:szCs w:val="24"/>
              </w:rPr>
              <w:t>Effort</w:t>
            </w:r>
          </w:p>
        </w:tc>
      </w:tr>
      <w:tr w:rsidR="006E142A" w14:paraId="6B193508" w14:textId="77777777" w:rsidTr="00567308">
        <w:tc>
          <w:tcPr>
            <w:tcW w:w="805" w:type="dxa"/>
          </w:tcPr>
          <w:p w14:paraId="58897A9B" w14:textId="3494BB8F" w:rsidR="006E142A" w:rsidRDefault="006E142A" w:rsidP="003805A9">
            <w:pPr>
              <w:autoSpaceDE w:val="0"/>
              <w:autoSpaceDN w:val="0"/>
              <w:adjustRightInd w:val="0"/>
              <w:rPr>
                <w:rFonts w:ascii="Arial" w:hAnsi="Arial" w:cs="Arial"/>
                <w:sz w:val="24"/>
                <w:szCs w:val="24"/>
              </w:rPr>
            </w:pPr>
            <w:r>
              <w:rPr>
                <w:rFonts w:ascii="Arial" w:hAnsi="Arial" w:cs="Arial"/>
                <w:sz w:val="24"/>
                <w:szCs w:val="24"/>
              </w:rPr>
              <w:t>3.2.1</w:t>
            </w:r>
          </w:p>
        </w:tc>
        <w:tc>
          <w:tcPr>
            <w:tcW w:w="2250" w:type="dxa"/>
          </w:tcPr>
          <w:p w14:paraId="2D317D3A" w14:textId="70EE56D2" w:rsidR="006E142A" w:rsidRDefault="006E142A" w:rsidP="003805A9">
            <w:pPr>
              <w:autoSpaceDE w:val="0"/>
              <w:autoSpaceDN w:val="0"/>
              <w:adjustRightInd w:val="0"/>
              <w:rPr>
                <w:rFonts w:ascii="Arial" w:hAnsi="Arial" w:cs="Arial"/>
                <w:sz w:val="24"/>
                <w:szCs w:val="24"/>
              </w:rPr>
            </w:pPr>
            <w:r>
              <w:rPr>
                <w:rFonts w:ascii="Arial" w:hAnsi="Arial" w:cs="Arial"/>
                <w:sz w:val="24"/>
                <w:szCs w:val="24"/>
              </w:rPr>
              <w:t>Management</w:t>
            </w:r>
          </w:p>
        </w:tc>
        <w:tc>
          <w:tcPr>
            <w:tcW w:w="6295" w:type="dxa"/>
          </w:tcPr>
          <w:p w14:paraId="5DE1C7C4" w14:textId="77777777" w:rsidR="006E142A" w:rsidRPr="003805A9" w:rsidRDefault="006E142A" w:rsidP="006E142A">
            <w:pPr>
              <w:autoSpaceDE w:val="0"/>
              <w:autoSpaceDN w:val="0"/>
              <w:adjustRightInd w:val="0"/>
              <w:rPr>
                <w:rFonts w:ascii="Arial" w:hAnsi="Arial" w:cs="Arial"/>
                <w:sz w:val="24"/>
                <w:szCs w:val="24"/>
              </w:rPr>
            </w:pPr>
            <w:r w:rsidRPr="003805A9">
              <w:rPr>
                <w:rFonts w:ascii="Arial" w:hAnsi="Arial" w:cs="Arial"/>
                <w:sz w:val="24"/>
                <w:szCs w:val="24"/>
              </w:rPr>
              <w:t>Level of effort tasks associated with the daily</w:t>
            </w:r>
          </w:p>
          <w:p w14:paraId="39B991AE" w14:textId="77777777" w:rsidR="006E142A" w:rsidRPr="003805A9" w:rsidRDefault="006E142A" w:rsidP="006E142A">
            <w:pPr>
              <w:autoSpaceDE w:val="0"/>
              <w:autoSpaceDN w:val="0"/>
              <w:adjustRightInd w:val="0"/>
              <w:rPr>
                <w:rFonts w:ascii="Arial" w:hAnsi="Arial" w:cs="Arial"/>
                <w:sz w:val="24"/>
                <w:szCs w:val="24"/>
              </w:rPr>
            </w:pPr>
            <w:r w:rsidRPr="003805A9">
              <w:rPr>
                <w:rFonts w:ascii="Arial" w:hAnsi="Arial" w:cs="Arial"/>
                <w:sz w:val="24"/>
                <w:szCs w:val="24"/>
              </w:rPr>
              <w:t>management, oversight, and assessment of the project.</w:t>
            </w:r>
          </w:p>
          <w:p w14:paraId="1F169422" w14:textId="77777777" w:rsidR="006E142A" w:rsidRDefault="006E142A" w:rsidP="006E142A">
            <w:pPr>
              <w:autoSpaceDE w:val="0"/>
              <w:autoSpaceDN w:val="0"/>
              <w:adjustRightInd w:val="0"/>
              <w:rPr>
                <w:rFonts w:ascii="Arial" w:hAnsi="Arial" w:cs="Arial"/>
                <w:sz w:val="24"/>
                <w:szCs w:val="24"/>
              </w:rPr>
            </w:pPr>
            <w:r w:rsidRPr="003805A9">
              <w:rPr>
                <w:rFonts w:ascii="Arial" w:hAnsi="Arial" w:cs="Arial"/>
                <w:sz w:val="24"/>
                <w:szCs w:val="24"/>
              </w:rPr>
              <w:t>Oversight, documentation, and reporting, included.</w:t>
            </w:r>
          </w:p>
          <w:p w14:paraId="5E9DE9A5" w14:textId="77777777" w:rsidR="006E142A" w:rsidRDefault="006E142A" w:rsidP="003805A9">
            <w:pPr>
              <w:autoSpaceDE w:val="0"/>
              <w:autoSpaceDN w:val="0"/>
              <w:adjustRightInd w:val="0"/>
              <w:rPr>
                <w:rFonts w:ascii="Arial" w:hAnsi="Arial" w:cs="Arial"/>
                <w:sz w:val="24"/>
                <w:szCs w:val="24"/>
              </w:rPr>
            </w:pPr>
          </w:p>
        </w:tc>
      </w:tr>
      <w:tr w:rsidR="006E142A" w14:paraId="275A1188" w14:textId="77777777" w:rsidTr="00567308">
        <w:tc>
          <w:tcPr>
            <w:tcW w:w="805" w:type="dxa"/>
          </w:tcPr>
          <w:p w14:paraId="411468CB" w14:textId="20F5FD8F" w:rsidR="006E142A" w:rsidRDefault="00567308" w:rsidP="003805A9">
            <w:pPr>
              <w:autoSpaceDE w:val="0"/>
              <w:autoSpaceDN w:val="0"/>
              <w:adjustRightInd w:val="0"/>
              <w:rPr>
                <w:rFonts w:ascii="Arial" w:hAnsi="Arial" w:cs="Arial"/>
                <w:sz w:val="24"/>
                <w:szCs w:val="24"/>
              </w:rPr>
            </w:pPr>
            <w:r>
              <w:rPr>
                <w:rFonts w:ascii="Arial" w:hAnsi="Arial" w:cs="Arial"/>
                <w:sz w:val="24"/>
                <w:szCs w:val="24"/>
              </w:rPr>
              <w:t>3.2.2</w:t>
            </w:r>
          </w:p>
        </w:tc>
        <w:tc>
          <w:tcPr>
            <w:tcW w:w="2250" w:type="dxa"/>
          </w:tcPr>
          <w:p w14:paraId="47051B5F" w14:textId="623833B9" w:rsidR="006E142A" w:rsidRDefault="00567308" w:rsidP="003805A9">
            <w:pPr>
              <w:autoSpaceDE w:val="0"/>
              <w:autoSpaceDN w:val="0"/>
              <w:adjustRightInd w:val="0"/>
              <w:rPr>
                <w:rFonts w:ascii="Arial" w:hAnsi="Arial" w:cs="Arial"/>
                <w:sz w:val="24"/>
                <w:szCs w:val="24"/>
              </w:rPr>
            </w:pPr>
            <w:r>
              <w:rPr>
                <w:rFonts w:ascii="Arial" w:hAnsi="Arial" w:cs="Arial"/>
                <w:sz w:val="24"/>
                <w:szCs w:val="24"/>
              </w:rPr>
              <w:t>Electronics</w:t>
            </w:r>
          </w:p>
        </w:tc>
        <w:tc>
          <w:tcPr>
            <w:tcW w:w="6295" w:type="dxa"/>
          </w:tcPr>
          <w:p w14:paraId="29F7ED5F" w14:textId="619A7AE6" w:rsidR="006E142A" w:rsidRDefault="00567308" w:rsidP="003805A9">
            <w:pPr>
              <w:autoSpaceDE w:val="0"/>
              <w:autoSpaceDN w:val="0"/>
              <w:adjustRightInd w:val="0"/>
              <w:rPr>
                <w:rFonts w:ascii="Arial" w:hAnsi="Arial" w:cs="Arial"/>
                <w:sz w:val="24"/>
                <w:szCs w:val="24"/>
              </w:rPr>
            </w:pPr>
            <w:r>
              <w:rPr>
                <w:rFonts w:ascii="Arial" w:hAnsi="Arial" w:cs="Arial"/>
                <w:sz w:val="24"/>
                <w:szCs w:val="24"/>
              </w:rPr>
              <w:t>Procurement of off project developed electronics, testing, and installation into MVTX.</w:t>
            </w:r>
          </w:p>
        </w:tc>
      </w:tr>
      <w:tr w:rsidR="006E142A" w14:paraId="44335877" w14:textId="77777777" w:rsidTr="00567308">
        <w:tc>
          <w:tcPr>
            <w:tcW w:w="805" w:type="dxa"/>
          </w:tcPr>
          <w:p w14:paraId="455F54D7" w14:textId="55A92C34" w:rsidR="006E142A" w:rsidRDefault="00567308" w:rsidP="003805A9">
            <w:pPr>
              <w:autoSpaceDE w:val="0"/>
              <w:autoSpaceDN w:val="0"/>
              <w:adjustRightInd w:val="0"/>
              <w:rPr>
                <w:rFonts w:ascii="Arial" w:hAnsi="Arial" w:cs="Arial"/>
                <w:sz w:val="24"/>
                <w:szCs w:val="24"/>
              </w:rPr>
            </w:pPr>
            <w:r>
              <w:rPr>
                <w:rFonts w:ascii="Arial" w:hAnsi="Arial" w:cs="Arial"/>
                <w:sz w:val="24"/>
                <w:szCs w:val="24"/>
              </w:rPr>
              <w:t>3.2.3</w:t>
            </w:r>
          </w:p>
        </w:tc>
        <w:tc>
          <w:tcPr>
            <w:tcW w:w="2250" w:type="dxa"/>
          </w:tcPr>
          <w:p w14:paraId="75468C0D" w14:textId="63C4D738" w:rsidR="006E142A" w:rsidRDefault="00567308" w:rsidP="003805A9">
            <w:pPr>
              <w:autoSpaceDE w:val="0"/>
              <w:autoSpaceDN w:val="0"/>
              <w:adjustRightInd w:val="0"/>
              <w:rPr>
                <w:rFonts w:ascii="Arial" w:hAnsi="Arial" w:cs="Arial"/>
                <w:sz w:val="24"/>
                <w:szCs w:val="24"/>
              </w:rPr>
            </w:pPr>
            <w:r>
              <w:rPr>
                <w:rFonts w:ascii="Arial" w:hAnsi="Arial" w:cs="Arial"/>
                <w:sz w:val="24"/>
                <w:szCs w:val="24"/>
              </w:rPr>
              <w:t>Mechanics and Detector Assembly</w:t>
            </w:r>
          </w:p>
        </w:tc>
        <w:tc>
          <w:tcPr>
            <w:tcW w:w="6295" w:type="dxa"/>
          </w:tcPr>
          <w:p w14:paraId="2E77C7A9" w14:textId="0D431572" w:rsidR="006E142A" w:rsidRDefault="00567308" w:rsidP="003805A9">
            <w:pPr>
              <w:autoSpaceDE w:val="0"/>
              <w:autoSpaceDN w:val="0"/>
              <w:adjustRightInd w:val="0"/>
              <w:rPr>
                <w:rFonts w:ascii="Arial" w:hAnsi="Arial" w:cs="Arial"/>
                <w:sz w:val="24"/>
                <w:szCs w:val="24"/>
              </w:rPr>
            </w:pPr>
            <w:r>
              <w:rPr>
                <w:rFonts w:ascii="Arial" w:hAnsi="Arial" w:cs="Arial"/>
                <w:sz w:val="24"/>
                <w:szCs w:val="24"/>
              </w:rPr>
              <w:t>Design, production, and installation of the carbon structures to support the silicon staves, and enclosure to transport the electronics cables to the electronics racks locate outside of the sPHENIX magnet.</w:t>
            </w:r>
          </w:p>
        </w:tc>
      </w:tr>
      <w:tr w:rsidR="006E142A" w14:paraId="4ED4F2BB" w14:textId="77777777" w:rsidTr="00567308">
        <w:tc>
          <w:tcPr>
            <w:tcW w:w="805" w:type="dxa"/>
          </w:tcPr>
          <w:p w14:paraId="00D59E4F" w14:textId="4E4F93B5" w:rsidR="006E142A" w:rsidRDefault="00567308" w:rsidP="003805A9">
            <w:pPr>
              <w:autoSpaceDE w:val="0"/>
              <w:autoSpaceDN w:val="0"/>
              <w:adjustRightInd w:val="0"/>
              <w:rPr>
                <w:rFonts w:ascii="Arial" w:hAnsi="Arial" w:cs="Arial"/>
                <w:sz w:val="24"/>
                <w:szCs w:val="24"/>
              </w:rPr>
            </w:pPr>
            <w:r>
              <w:rPr>
                <w:rFonts w:ascii="Arial" w:hAnsi="Arial" w:cs="Arial"/>
                <w:sz w:val="24"/>
                <w:szCs w:val="24"/>
              </w:rPr>
              <w:t>Off 3.2.4</w:t>
            </w:r>
          </w:p>
        </w:tc>
        <w:tc>
          <w:tcPr>
            <w:tcW w:w="2250" w:type="dxa"/>
          </w:tcPr>
          <w:p w14:paraId="1E26DE58" w14:textId="78B6182E" w:rsidR="006E142A" w:rsidRDefault="00567308" w:rsidP="003805A9">
            <w:pPr>
              <w:autoSpaceDE w:val="0"/>
              <w:autoSpaceDN w:val="0"/>
              <w:adjustRightInd w:val="0"/>
              <w:rPr>
                <w:rFonts w:ascii="Arial" w:hAnsi="Arial" w:cs="Arial"/>
                <w:sz w:val="24"/>
                <w:szCs w:val="24"/>
              </w:rPr>
            </w:pPr>
            <w:r>
              <w:rPr>
                <w:rFonts w:ascii="Arial" w:hAnsi="Arial" w:cs="Arial"/>
                <w:sz w:val="24"/>
                <w:szCs w:val="24"/>
              </w:rPr>
              <w:t>Integration and Infrastructure</w:t>
            </w:r>
          </w:p>
        </w:tc>
        <w:tc>
          <w:tcPr>
            <w:tcW w:w="6295" w:type="dxa"/>
          </w:tcPr>
          <w:p w14:paraId="542C9ECD" w14:textId="03754804" w:rsidR="006E142A" w:rsidRDefault="008C051F" w:rsidP="003805A9">
            <w:pPr>
              <w:autoSpaceDE w:val="0"/>
              <w:autoSpaceDN w:val="0"/>
              <w:adjustRightInd w:val="0"/>
              <w:rPr>
                <w:rFonts w:ascii="Arial" w:hAnsi="Arial" w:cs="Arial"/>
                <w:sz w:val="24"/>
                <w:szCs w:val="24"/>
              </w:rPr>
            </w:pPr>
            <w:r>
              <w:rPr>
                <w:rFonts w:ascii="Arial" w:hAnsi="Arial" w:cs="Arial"/>
                <w:sz w:val="24"/>
                <w:szCs w:val="24"/>
              </w:rPr>
              <w:t xml:space="preserve">Incorporates the effort to integrate the MVTX subsystem into the rest of the sPHENIX detector. Includes the details of the designs of the support structures for the INTT and TPC. Includes the cooling designs, safety systems, infrastructure for </w:t>
            </w:r>
            <w:proofErr w:type="spellStart"/>
            <w:r>
              <w:rPr>
                <w:rFonts w:ascii="Arial" w:hAnsi="Arial" w:cs="Arial"/>
                <w:sz w:val="24"/>
                <w:szCs w:val="24"/>
              </w:rPr>
              <w:t>utilites</w:t>
            </w:r>
            <w:proofErr w:type="spellEnd"/>
            <w:r>
              <w:rPr>
                <w:rFonts w:ascii="Arial" w:hAnsi="Arial" w:cs="Arial"/>
                <w:sz w:val="24"/>
                <w:szCs w:val="24"/>
              </w:rPr>
              <w:t xml:space="preserve"> that </w:t>
            </w:r>
            <w:proofErr w:type="spellStart"/>
            <w:r>
              <w:rPr>
                <w:rFonts w:ascii="Arial" w:hAnsi="Arial" w:cs="Arial"/>
                <w:sz w:val="24"/>
                <w:szCs w:val="24"/>
              </w:rPr>
              <w:t>adhers</w:t>
            </w:r>
            <w:proofErr w:type="spellEnd"/>
            <w:r>
              <w:rPr>
                <w:rFonts w:ascii="Arial" w:hAnsi="Arial" w:cs="Arial"/>
                <w:sz w:val="24"/>
                <w:szCs w:val="24"/>
              </w:rPr>
              <w:t xml:space="preserve"> to BNL standards. Defines the Installation sequence of the MVTX into sPHENIX.</w:t>
            </w:r>
          </w:p>
        </w:tc>
      </w:tr>
    </w:tbl>
    <w:p w14:paraId="3860D665" w14:textId="197FBA7A" w:rsidR="006E142A" w:rsidRPr="003805A9" w:rsidRDefault="008C051F" w:rsidP="003805A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14:paraId="3B2C4349" w14:textId="77777777" w:rsidR="00AD4B71" w:rsidRPr="003805A9" w:rsidRDefault="00AD4B71" w:rsidP="003805A9">
      <w:pPr>
        <w:autoSpaceDE w:val="0"/>
        <w:autoSpaceDN w:val="0"/>
        <w:adjustRightInd w:val="0"/>
        <w:spacing w:after="0" w:line="240" w:lineRule="auto"/>
        <w:rPr>
          <w:rFonts w:ascii="Arial" w:hAnsi="Arial" w:cs="Arial"/>
          <w:sz w:val="24"/>
          <w:szCs w:val="24"/>
        </w:rPr>
      </w:pPr>
    </w:p>
    <w:p w14:paraId="39025801" w14:textId="460966D4" w:rsidR="003805A9" w:rsidRDefault="003805A9" w:rsidP="003805A9">
      <w:pPr>
        <w:autoSpaceDE w:val="0"/>
        <w:autoSpaceDN w:val="0"/>
        <w:adjustRightInd w:val="0"/>
        <w:spacing w:after="0" w:line="240" w:lineRule="auto"/>
        <w:rPr>
          <w:rFonts w:ascii="Arial" w:hAnsi="Arial" w:cs="Arial"/>
          <w:b/>
          <w:bCs/>
          <w:sz w:val="24"/>
          <w:szCs w:val="24"/>
        </w:rPr>
      </w:pPr>
      <w:r w:rsidRPr="003805A9">
        <w:rPr>
          <w:rFonts w:ascii="Arial" w:hAnsi="Arial" w:cs="Arial"/>
          <w:b/>
          <w:bCs/>
          <w:sz w:val="24"/>
          <w:szCs w:val="24"/>
        </w:rPr>
        <w:t>2.</w:t>
      </w:r>
      <w:r w:rsidR="00933175">
        <w:rPr>
          <w:rFonts w:ascii="Arial" w:hAnsi="Arial" w:cs="Arial"/>
          <w:b/>
          <w:bCs/>
          <w:sz w:val="24"/>
          <w:szCs w:val="24"/>
        </w:rPr>
        <w:t>6</w:t>
      </w:r>
      <w:r w:rsidRPr="003805A9">
        <w:rPr>
          <w:rFonts w:ascii="Arial" w:hAnsi="Arial" w:cs="Arial"/>
          <w:b/>
          <w:bCs/>
          <w:sz w:val="24"/>
          <w:szCs w:val="24"/>
        </w:rPr>
        <w:t xml:space="preserve"> Funding Profile</w:t>
      </w:r>
    </w:p>
    <w:p w14:paraId="0B453A3A" w14:textId="77777777" w:rsidR="0031206A" w:rsidRPr="0031206A" w:rsidRDefault="0031206A" w:rsidP="003805A9">
      <w:pPr>
        <w:autoSpaceDE w:val="0"/>
        <w:autoSpaceDN w:val="0"/>
        <w:adjustRightInd w:val="0"/>
        <w:spacing w:after="0" w:line="240" w:lineRule="auto"/>
        <w:rPr>
          <w:rFonts w:ascii="Arial" w:hAnsi="Arial" w:cs="Arial"/>
          <w:sz w:val="24"/>
          <w:szCs w:val="24"/>
        </w:rPr>
      </w:pPr>
    </w:p>
    <w:p w14:paraId="3CF18694" w14:textId="3E62CEFD" w:rsidR="003805A9" w:rsidRPr="003805A9" w:rsidRDefault="003805A9" w:rsidP="003805A9">
      <w:pPr>
        <w:autoSpaceDE w:val="0"/>
        <w:autoSpaceDN w:val="0"/>
        <w:adjustRightInd w:val="0"/>
        <w:spacing w:after="0" w:line="240" w:lineRule="auto"/>
        <w:rPr>
          <w:rFonts w:ascii="Arial" w:hAnsi="Arial" w:cs="Arial"/>
          <w:b/>
          <w:bCs/>
          <w:sz w:val="24"/>
          <w:szCs w:val="24"/>
        </w:rPr>
      </w:pPr>
      <w:r w:rsidRPr="003805A9">
        <w:rPr>
          <w:rFonts w:ascii="Arial" w:hAnsi="Arial" w:cs="Arial"/>
          <w:noProof/>
          <w:sz w:val="24"/>
          <w:szCs w:val="24"/>
        </w:rPr>
        <w:drawing>
          <wp:inline distT="0" distB="0" distL="0" distR="0" wp14:anchorId="78686932" wp14:editId="58988C5D">
            <wp:extent cx="4572000" cy="2743200"/>
            <wp:effectExtent l="0" t="0" r="0" b="0"/>
            <wp:docPr id="2" name="Chart 2">
              <a:extLst xmlns:a="http://schemas.openxmlformats.org/drawingml/2006/main">
                <a:ext uri="{FF2B5EF4-FFF2-40B4-BE49-F238E27FC236}">
                  <a16:creationId xmlns:a16="http://schemas.microsoft.com/office/drawing/2014/main" id="{5E5B1F5C-3D19-4740-B078-0C5AAFF6B9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FAB9314" w14:textId="0EA49E80" w:rsidR="003805A9" w:rsidRPr="003805A9" w:rsidRDefault="003805A9" w:rsidP="003805A9">
      <w:pPr>
        <w:autoSpaceDE w:val="0"/>
        <w:autoSpaceDN w:val="0"/>
        <w:adjustRightInd w:val="0"/>
        <w:spacing w:after="0" w:line="240" w:lineRule="auto"/>
        <w:rPr>
          <w:rFonts w:ascii="Arial" w:hAnsi="Arial" w:cs="Arial"/>
          <w:b/>
          <w:bCs/>
          <w:sz w:val="24"/>
          <w:szCs w:val="24"/>
        </w:rPr>
      </w:pPr>
    </w:p>
    <w:p w14:paraId="5C615948" w14:textId="1A9BC46F" w:rsidR="003805A9" w:rsidRPr="003805A9" w:rsidRDefault="003805A9" w:rsidP="003805A9">
      <w:pPr>
        <w:autoSpaceDE w:val="0"/>
        <w:autoSpaceDN w:val="0"/>
        <w:adjustRightInd w:val="0"/>
        <w:spacing w:after="0" w:line="240" w:lineRule="auto"/>
        <w:rPr>
          <w:rFonts w:ascii="Arial" w:hAnsi="Arial" w:cs="Arial"/>
          <w:bCs/>
          <w:sz w:val="24"/>
          <w:szCs w:val="24"/>
        </w:rPr>
      </w:pPr>
      <w:r w:rsidRPr="003805A9">
        <w:rPr>
          <w:rFonts w:ascii="Arial" w:hAnsi="Arial" w:cs="Arial"/>
          <w:bCs/>
          <w:sz w:val="24"/>
          <w:szCs w:val="24"/>
        </w:rPr>
        <w:lastRenderedPageBreak/>
        <w:t xml:space="preserve">The funding spike in FY2020 is due to the engineering design and fabrication of the carbon structures.  </w:t>
      </w:r>
    </w:p>
    <w:p w14:paraId="4EE7BC6D" w14:textId="022A2770" w:rsidR="003805A9" w:rsidRDefault="003805A9" w:rsidP="003805A9">
      <w:pPr>
        <w:autoSpaceDE w:val="0"/>
        <w:autoSpaceDN w:val="0"/>
        <w:adjustRightInd w:val="0"/>
        <w:spacing w:after="0" w:line="240" w:lineRule="auto"/>
        <w:rPr>
          <w:rFonts w:ascii="Arial" w:hAnsi="Arial" w:cs="Arial"/>
          <w:b/>
          <w:bCs/>
          <w:sz w:val="24"/>
          <w:szCs w:val="24"/>
        </w:rPr>
      </w:pPr>
    </w:p>
    <w:p w14:paraId="2637AC56" w14:textId="40DB1F02" w:rsidR="00471ED8" w:rsidRDefault="00471ED8" w:rsidP="003805A9">
      <w:pPr>
        <w:autoSpaceDE w:val="0"/>
        <w:autoSpaceDN w:val="0"/>
        <w:adjustRightInd w:val="0"/>
        <w:spacing w:after="0" w:line="240" w:lineRule="auto"/>
        <w:rPr>
          <w:rFonts w:ascii="Arial" w:hAnsi="Arial" w:cs="Arial"/>
          <w:b/>
          <w:bCs/>
          <w:sz w:val="24"/>
          <w:szCs w:val="24"/>
        </w:rPr>
      </w:pPr>
    </w:p>
    <w:p w14:paraId="3141704F" w14:textId="77777777" w:rsidR="00471ED8" w:rsidRPr="003805A9" w:rsidRDefault="00471ED8" w:rsidP="003805A9">
      <w:pPr>
        <w:autoSpaceDE w:val="0"/>
        <w:autoSpaceDN w:val="0"/>
        <w:adjustRightInd w:val="0"/>
        <w:spacing w:after="0" w:line="240" w:lineRule="auto"/>
        <w:rPr>
          <w:rFonts w:ascii="Arial" w:hAnsi="Arial" w:cs="Arial"/>
          <w:b/>
          <w:bCs/>
          <w:sz w:val="24"/>
          <w:szCs w:val="24"/>
        </w:rPr>
      </w:pPr>
    </w:p>
    <w:p w14:paraId="4ED2F5EA" w14:textId="230A2DC6" w:rsidR="003805A9" w:rsidRDefault="003805A9" w:rsidP="003805A9">
      <w:pPr>
        <w:autoSpaceDE w:val="0"/>
        <w:autoSpaceDN w:val="0"/>
        <w:adjustRightInd w:val="0"/>
        <w:spacing w:after="0" w:line="240" w:lineRule="auto"/>
        <w:rPr>
          <w:rFonts w:ascii="Arial" w:hAnsi="Arial" w:cs="Arial"/>
          <w:b/>
          <w:bCs/>
          <w:sz w:val="24"/>
          <w:szCs w:val="24"/>
        </w:rPr>
      </w:pPr>
      <w:r w:rsidRPr="003805A9">
        <w:rPr>
          <w:rFonts w:ascii="Arial" w:hAnsi="Arial" w:cs="Arial"/>
          <w:b/>
          <w:bCs/>
          <w:sz w:val="24"/>
          <w:szCs w:val="24"/>
        </w:rPr>
        <w:t>2.</w:t>
      </w:r>
      <w:r w:rsidR="00933175">
        <w:rPr>
          <w:rFonts w:ascii="Arial" w:hAnsi="Arial" w:cs="Arial"/>
          <w:b/>
          <w:bCs/>
          <w:sz w:val="24"/>
          <w:szCs w:val="24"/>
        </w:rPr>
        <w:t>7</w:t>
      </w:r>
      <w:r w:rsidRPr="003805A9">
        <w:rPr>
          <w:rFonts w:ascii="Arial" w:hAnsi="Arial" w:cs="Arial"/>
          <w:b/>
          <w:bCs/>
          <w:sz w:val="24"/>
          <w:szCs w:val="24"/>
        </w:rPr>
        <w:t xml:space="preserve"> Planned BNL Funding</w:t>
      </w:r>
    </w:p>
    <w:p w14:paraId="6F40263A" w14:textId="77777777" w:rsidR="00FC7D5A" w:rsidRPr="003805A9" w:rsidRDefault="00FC7D5A" w:rsidP="003805A9">
      <w:pPr>
        <w:autoSpaceDE w:val="0"/>
        <w:autoSpaceDN w:val="0"/>
        <w:adjustRightInd w:val="0"/>
        <w:spacing w:after="0" w:line="240" w:lineRule="auto"/>
        <w:rPr>
          <w:rFonts w:ascii="Arial" w:hAnsi="Arial" w:cs="Arial"/>
          <w:b/>
          <w:bCs/>
          <w:sz w:val="24"/>
          <w:szCs w:val="24"/>
        </w:rPr>
      </w:pPr>
    </w:p>
    <w:p w14:paraId="05C93606" w14:textId="652B32A6" w:rsidR="003805A9" w:rsidRP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The MVTX project is funded out of the BNL operations budget spread over 5 years.</w:t>
      </w:r>
    </w:p>
    <w:p w14:paraId="58EBDC16" w14:textId="367E65B6" w:rsidR="00FC7D5A" w:rsidRDefault="00FC7D5A" w:rsidP="003805A9">
      <w:pPr>
        <w:autoSpaceDE w:val="0"/>
        <w:autoSpaceDN w:val="0"/>
        <w:adjustRightInd w:val="0"/>
        <w:spacing w:after="0" w:line="240" w:lineRule="auto"/>
        <w:rPr>
          <w:rFonts w:ascii="Arial" w:hAnsi="Arial" w:cs="Arial"/>
          <w:b/>
          <w:bCs/>
          <w:sz w:val="24"/>
          <w:szCs w:val="24"/>
        </w:rPr>
      </w:pPr>
    </w:p>
    <w:p w14:paraId="2A10B6E2" w14:textId="5E44C5AE" w:rsidR="00471ED8" w:rsidRDefault="00471ED8" w:rsidP="003805A9">
      <w:pPr>
        <w:autoSpaceDE w:val="0"/>
        <w:autoSpaceDN w:val="0"/>
        <w:adjustRightInd w:val="0"/>
        <w:spacing w:after="0" w:line="240" w:lineRule="auto"/>
        <w:rPr>
          <w:rFonts w:ascii="Arial" w:hAnsi="Arial" w:cs="Arial"/>
          <w:b/>
          <w:bCs/>
          <w:sz w:val="24"/>
          <w:szCs w:val="24"/>
        </w:rPr>
      </w:pPr>
    </w:p>
    <w:p w14:paraId="0F608C4A" w14:textId="05F2B1D4" w:rsidR="00471ED8" w:rsidRDefault="00471ED8" w:rsidP="003805A9">
      <w:pPr>
        <w:autoSpaceDE w:val="0"/>
        <w:autoSpaceDN w:val="0"/>
        <w:adjustRightInd w:val="0"/>
        <w:spacing w:after="0" w:line="240" w:lineRule="auto"/>
        <w:rPr>
          <w:rFonts w:ascii="Arial" w:hAnsi="Arial" w:cs="Arial"/>
          <w:b/>
          <w:bCs/>
          <w:sz w:val="24"/>
          <w:szCs w:val="24"/>
        </w:rPr>
      </w:pPr>
    </w:p>
    <w:p w14:paraId="4A9CB54E" w14:textId="77777777" w:rsidR="00471ED8" w:rsidRDefault="00471ED8" w:rsidP="003805A9">
      <w:pPr>
        <w:autoSpaceDE w:val="0"/>
        <w:autoSpaceDN w:val="0"/>
        <w:adjustRightInd w:val="0"/>
        <w:spacing w:after="0" w:line="240" w:lineRule="auto"/>
        <w:rPr>
          <w:rFonts w:ascii="Arial" w:hAnsi="Arial" w:cs="Arial"/>
          <w:b/>
          <w:bCs/>
          <w:sz w:val="24"/>
          <w:szCs w:val="24"/>
        </w:rPr>
      </w:pPr>
    </w:p>
    <w:p w14:paraId="39FE1504" w14:textId="0B0761E7" w:rsidR="003805A9" w:rsidRDefault="003805A9" w:rsidP="003805A9">
      <w:pPr>
        <w:autoSpaceDE w:val="0"/>
        <w:autoSpaceDN w:val="0"/>
        <w:adjustRightInd w:val="0"/>
        <w:spacing w:after="0" w:line="240" w:lineRule="auto"/>
        <w:rPr>
          <w:rFonts w:ascii="Arial" w:hAnsi="Arial" w:cs="Arial"/>
          <w:b/>
          <w:bCs/>
          <w:sz w:val="24"/>
          <w:szCs w:val="24"/>
        </w:rPr>
      </w:pPr>
      <w:r w:rsidRPr="003805A9">
        <w:rPr>
          <w:rFonts w:ascii="Arial" w:hAnsi="Arial" w:cs="Arial"/>
          <w:b/>
          <w:bCs/>
          <w:sz w:val="24"/>
          <w:szCs w:val="24"/>
        </w:rPr>
        <w:t>2.8 Baseline Change Control</w:t>
      </w:r>
    </w:p>
    <w:p w14:paraId="3543A4E0" w14:textId="77777777" w:rsidR="00FC7D5A" w:rsidRPr="003805A9" w:rsidRDefault="00FC7D5A" w:rsidP="003805A9">
      <w:pPr>
        <w:autoSpaceDE w:val="0"/>
        <w:autoSpaceDN w:val="0"/>
        <w:adjustRightInd w:val="0"/>
        <w:spacing w:after="0" w:line="240" w:lineRule="auto"/>
        <w:rPr>
          <w:rFonts w:ascii="Arial" w:hAnsi="Arial" w:cs="Arial"/>
          <w:b/>
          <w:bCs/>
          <w:sz w:val="24"/>
          <w:szCs w:val="24"/>
        </w:rPr>
      </w:pPr>
    </w:p>
    <w:p w14:paraId="6379005C" w14:textId="77777777" w:rsidR="003805A9" w:rsidRP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Changes to the approved technical, cost, and schedule baselines will be controlled</w:t>
      </w:r>
    </w:p>
    <w:p w14:paraId="340FB552" w14:textId="57642026" w:rsid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using the thresholds described in Table 6-</w:t>
      </w:r>
      <w:proofErr w:type="gramStart"/>
      <w:r w:rsidRPr="003805A9">
        <w:rPr>
          <w:rFonts w:ascii="Arial" w:hAnsi="Arial" w:cs="Arial"/>
          <w:sz w:val="24"/>
          <w:szCs w:val="24"/>
        </w:rPr>
        <w:t>1 .</w:t>
      </w:r>
      <w:proofErr w:type="gramEnd"/>
    </w:p>
    <w:p w14:paraId="37323A8E" w14:textId="77777777" w:rsidR="00FC7D5A" w:rsidRPr="003805A9" w:rsidRDefault="00FC7D5A" w:rsidP="003805A9">
      <w:pPr>
        <w:autoSpaceDE w:val="0"/>
        <w:autoSpaceDN w:val="0"/>
        <w:adjustRightInd w:val="0"/>
        <w:spacing w:after="0" w:line="240" w:lineRule="auto"/>
        <w:rPr>
          <w:rFonts w:ascii="Arial" w:hAnsi="Arial" w:cs="Arial"/>
          <w:sz w:val="24"/>
          <w:szCs w:val="24"/>
        </w:rPr>
      </w:pPr>
    </w:p>
    <w:p w14:paraId="59ABD3D8" w14:textId="77777777" w:rsidR="003805A9" w:rsidRP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The change request will be initiated by the sub-system manager regarding a change</w:t>
      </w:r>
    </w:p>
    <w:p w14:paraId="2FEAE321" w14:textId="77777777" w:rsidR="003805A9" w:rsidRP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to the cost, schedule, or technical baseline. A draft Project Change Request is</w:t>
      </w:r>
    </w:p>
    <w:p w14:paraId="611844C6" w14:textId="1CFD30E1" w:rsid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generated by PM and pertinent data/documents are attached.</w:t>
      </w:r>
    </w:p>
    <w:p w14:paraId="3848F2AB" w14:textId="77777777" w:rsidR="00FC7D5A" w:rsidRPr="003805A9" w:rsidRDefault="00FC7D5A" w:rsidP="003805A9">
      <w:pPr>
        <w:autoSpaceDE w:val="0"/>
        <w:autoSpaceDN w:val="0"/>
        <w:adjustRightInd w:val="0"/>
        <w:spacing w:after="0" w:line="240" w:lineRule="auto"/>
        <w:rPr>
          <w:rFonts w:ascii="Arial" w:hAnsi="Arial" w:cs="Arial"/>
          <w:sz w:val="24"/>
          <w:szCs w:val="24"/>
        </w:rPr>
      </w:pPr>
    </w:p>
    <w:p w14:paraId="7B134D52" w14:textId="77777777" w:rsidR="003805A9" w:rsidRP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All Level 3 PCRs will be approved by the PM. Level 1 and 2 PCRs will be submitted</w:t>
      </w:r>
    </w:p>
    <w:p w14:paraId="2E8A4A7C" w14:textId="77777777" w:rsidR="003805A9" w:rsidRP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 xml:space="preserve">by the PM to the Physics Department Associated </w:t>
      </w:r>
      <w:proofErr w:type="spellStart"/>
      <w:r w:rsidRPr="003805A9">
        <w:rPr>
          <w:rFonts w:ascii="Arial" w:hAnsi="Arial" w:cs="Arial"/>
          <w:sz w:val="24"/>
          <w:szCs w:val="24"/>
        </w:rPr>
        <w:t>Chair person</w:t>
      </w:r>
      <w:proofErr w:type="spellEnd"/>
      <w:r w:rsidRPr="003805A9">
        <w:rPr>
          <w:rFonts w:ascii="Arial" w:hAnsi="Arial" w:cs="Arial"/>
          <w:sz w:val="24"/>
          <w:szCs w:val="24"/>
        </w:rPr>
        <w:t xml:space="preserve"> for Nuclear Physics.</w:t>
      </w:r>
    </w:p>
    <w:p w14:paraId="0A584F17" w14:textId="77777777" w:rsidR="003805A9" w:rsidRP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All Level 2 PCRs will be reviewed and approved by the Physics Department</w:t>
      </w:r>
    </w:p>
    <w:p w14:paraId="78DEE93D" w14:textId="77777777" w:rsidR="003805A9" w:rsidRP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associate Chair. For PCRs exceeding the thresholds of Level 2, they will forward</w:t>
      </w:r>
    </w:p>
    <w:p w14:paraId="1AA6B8BB" w14:textId="77777777" w:rsidR="003805A9" w:rsidRP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them to the ALD for Nuclear and High Energy Physics with a recommendation for</w:t>
      </w:r>
    </w:p>
    <w:p w14:paraId="0909A33F" w14:textId="6192562C" w:rsid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approval.</w:t>
      </w:r>
    </w:p>
    <w:p w14:paraId="4600BDD6" w14:textId="77777777" w:rsidR="00FC7D5A" w:rsidRPr="003805A9" w:rsidRDefault="00FC7D5A" w:rsidP="003805A9">
      <w:pPr>
        <w:autoSpaceDE w:val="0"/>
        <w:autoSpaceDN w:val="0"/>
        <w:adjustRightInd w:val="0"/>
        <w:spacing w:after="0" w:line="240" w:lineRule="auto"/>
        <w:rPr>
          <w:rFonts w:ascii="Arial" w:hAnsi="Arial" w:cs="Arial"/>
          <w:sz w:val="24"/>
          <w:szCs w:val="24"/>
        </w:rPr>
      </w:pPr>
    </w:p>
    <w:p w14:paraId="51C85C09" w14:textId="77777777" w:rsidR="003805A9" w:rsidRP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If the change is approved, PM is responsible for implementing the approved cost,</w:t>
      </w:r>
    </w:p>
    <w:p w14:paraId="0E7FAF4C" w14:textId="77777777" w:rsidR="003805A9" w:rsidRP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 xml:space="preserve">budget, schedule or milestone changes in the official </w:t>
      </w:r>
      <w:proofErr w:type="spellStart"/>
      <w:r w:rsidRPr="003805A9">
        <w:rPr>
          <w:rFonts w:ascii="Arial" w:hAnsi="Arial" w:cs="Arial"/>
          <w:sz w:val="24"/>
          <w:szCs w:val="24"/>
        </w:rPr>
        <w:t>iTPC</w:t>
      </w:r>
      <w:proofErr w:type="spellEnd"/>
      <w:r w:rsidRPr="003805A9">
        <w:rPr>
          <w:rFonts w:ascii="Arial" w:hAnsi="Arial" w:cs="Arial"/>
          <w:sz w:val="24"/>
          <w:szCs w:val="24"/>
        </w:rPr>
        <w:t xml:space="preserve"> documents. If approval is</w:t>
      </w:r>
    </w:p>
    <w:p w14:paraId="5374AAE9" w14:textId="77777777" w:rsidR="003805A9" w:rsidRP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denied, no changes are made to project documents. All PCRs, approved or rejected,</w:t>
      </w:r>
    </w:p>
    <w:p w14:paraId="3DCD7E3E" w14:textId="119A7F85" w:rsidR="003805A9" w:rsidRDefault="003805A9" w:rsidP="003805A9">
      <w:pPr>
        <w:autoSpaceDE w:val="0"/>
        <w:autoSpaceDN w:val="0"/>
        <w:adjustRightInd w:val="0"/>
        <w:spacing w:after="0" w:line="240" w:lineRule="auto"/>
        <w:rPr>
          <w:rFonts w:ascii="Arial" w:hAnsi="Arial" w:cs="Arial"/>
          <w:sz w:val="24"/>
          <w:szCs w:val="24"/>
        </w:rPr>
      </w:pPr>
      <w:r w:rsidRPr="003805A9">
        <w:rPr>
          <w:rFonts w:ascii="Arial" w:hAnsi="Arial" w:cs="Arial"/>
          <w:sz w:val="24"/>
          <w:szCs w:val="24"/>
        </w:rPr>
        <w:t>are maintained in the document repository.</w:t>
      </w:r>
    </w:p>
    <w:p w14:paraId="6F1AC6E3" w14:textId="0ED02066" w:rsidR="000C04FB" w:rsidRDefault="00AC3003" w:rsidP="003805A9">
      <w:pPr>
        <w:autoSpaceDE w:val="0"/>
        <w:autoSpaceDN w:val="0"/>
        <w:adjustRightInd w:val="0"/>
        <w:spacing w:after="0" w:line="240" w:lineRule="auto"/>
        <w:rPr>
          <w:rFonts w:ascii="Arial" w:hAnsi="Arial" w:cs="Arial"/>
          <w:sz w:val="24"/>
          <w:szCs w:val="24"/>
        </w:rPr>
      </w:pPr>
      <w:r w:rsidRPr="00AC3003">
        <w:rPr>
          <w:rFonts w:ascii="Arial" w:hAnsi="Arial" w:cs="Arial"/>
          <w:noProof/>
          <w:sz w:val="24"/>
          <w:szCs w:val="24"/>
        </w:rPr>
        <w:lastRenderedPageBreak/>
        <w:drawing>
          <wp:inline distT="0" distB="0" distL="0" distR="0" wp14:anchorId="330C7FC1" wp14:editId="2177DFC4">
            <wp:extent cx="5943600" cy="31927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192780"/>
                    </a:xfrm>
                    <a:prstGeom prst="rect">
                      <a:avLst/>
                    </a:prstGeom>
                    <a:noFill/>
                    <a:ln>
                      <a:noFill/>
                    </a:ln>
                  </pic:spPr>
                </pic:pic>
              </a:graphicData>
            </a:graphic>
          </wp:inline>
        </w:drawing>
      </w:r>
    </w:p>
    <w:p w14:paraId="61779363" w14:textId="22161D25" w:rsidR="00AC3003" w:rsidRDefault="00AC3003" w:rsidP="003805A9">
      <w:pPr>
        <w:autoSpaceDE w:val="0"/>
        <w:autoSpaceDN w:val="0"/>
        <w:adjustRightInd w:val="0"/>
        <w:spacing w:after="0" w:line="240" w:lineRule="auto"/>
        <w:rPr>
          <w:rFonts w:ascii="Arial" w:hAnsi="Arial" w:cs="Arial"/>
          <w:sz w:val="24"/>
          <w:szCs w:val="24"/>
        </w:rPr>
      </w:pPr>
    </w:p>
    <w:p w14:paraId="4568E9A3" w14:textId="77777777" w:rsidR="00C57E0E" w:rsidRDefault="00C57E0E" w:rsidP="003805A9">
      <w:pPr>
        <w:autoSpaceDE w:val="0"/>
        <w:autoSpaceDN w:val="0"/>
        <w:adjustRightInd w:val="0"/>
        <w:spacing w:after="0" w:line="240" w:lineRule="auto"/>
        <w:rPr>
          <w:rFonts w:ascii="Arial" w:hAnsi="Arial" w:cs="Arial"/>
          <w:sz w:val="24"/>
          <w:szCs w:val="24"/>
        </w:rPr>
      </w:pPr>
    </w:p>
    <w:p w14:paraId="197F2533" w14:textId="7D3EA633" w:rsidR="00EE269D" w:rsidRDefault="00EE269D" w:rsidP="00EE269D">
      <w:pPr>
        <w:autoSpaceDE w:val="0"/>
        <w:autoSpaceDN w:val="0"/>
        <w:adjustRightInd w:val="0"/>
        <w:spacing w:after="0" w:line="240" w:lineRule="auto"/>
        <w:rPr>
          <w:rFonts w:ascii="Arial" w:hAnsi="Arial" w:cs="Arial"/>
          <w:b/>
          <w:bCs/>
          <w:color w:val="000000"/>
          <w:sz w:val="24"/>
          <w:szCs w:val="24"/>
        </w:rPr>
      </w:pPr>
      <w:r w:rsidRPr="00FC7D5A">
        <w:rPr>
          <w:rFonts w:ascii="Arial" w:hAnsi="Arial" w:cs="Arial"/>
          <w:b/>
          <w:bCs/>
          <w:color w:val="000000"/>
          <w:sz w:val="24"/>
          <w:szCs w:val="24"/>
        </w:rPr>
        <w:t>3 MANAGEMENT STRUCTURE</w:t>
      </w:r>
    </w:p>
    <w:p w14:paraId="677AE88A" w14:textId="77777777" w:rsidR="00FC7D5A" w:rsidRPr="00FC7D5A" w:rsidRDefault="00FC7D5A" w:rsidP="00EE269D">
      <w:pPr>
        <w:autoSpaceDE w:val="0"/>
        <w:autoSpaceDN w:val="0"/>
        <w:adjustRightInd w:val="0"/>
        <w:spacing w:after="0" w:line="240" w:lineRule="auto"/>
        <w:rPr>
          <w:rFonts w:ascii="Arial" w:hAnsi="Arial" w:cs="Arial"/>
          <w:b/>
          <w:bCs/>
          <w:color w:val="000000"/>
          <w:sz w:val="24"/>
          <w:szCs w:val="24"/>
        </w:rPr>
      </w:pPr>
    </w:p>
    <w:p w14:paraId="3DC2D5F7" w14:textId="77777777" w:rsidR="00EE269D" w:rsidRPr="00FC7D5A" w:rsidRDefault="00EE269D" w:rsidP="00EE269D">
      <w:pPr>
        <w:autoSpaceDE w:val="0"/>
        <w:autoSpaceDN w:val="0"/>
        <w:adjustRightInd w:val="0"/>
        <w:spacing w:after="0" w:line="240" w:lineRule="auto"/>
        <w:rPr>
          <w:rFonts w:ascii="Arial" w:hAnsi="Arial" w:cs="Arial"/>
          <w:b/>
          <w:bCs/>
          <w:color w:val="000000"/>
          <w:sz w:val="24"/>
          <w:szCs w:val="24"/>
        </w:rPr>
      </w:pPr>
      <w:r w:rsidRPr="00FC7D5A">
        <w:rPr>
          <w:rFonts w:ascii="Arial" w:hAnsi="Arial" w:cs="Arial"/>
          <w:b/>
          <w:bCs/>
          <w:color w:val="000000"/>
          <w:sz w:val="24"/>
          <w:szCs w:val="24"/>
        </w:rPr>
        <w:t>3.1 Management Structure and Team</w:t>
      </w:r>
    </w:p>
    <w:p w14:paraId="1E911A18" w14:textId="3008B191" w:rsidR="00EE269D" w:rsidRPr="00FC7D5A" w:rsidRDefault="00EE269D" w:rsidP="00EE269D">
      <w:pPr>
        <w:autoSpaceDE w:val="0"/>
        <w:autoSpaceDN w:val="0"/>
        <w:adjustRightInd w:val="0"/>
        <w:spacing w:after="0" w:line="240" w:lineRule="auto"/>
        <w:rPr>
          <w:rFonts w:ascii="Arial" w:hAnsi="Arial" w:cs="Arial"/>
          <w:color w:val="000000"/>
          <w:sz w:val="24"/>
          <w:szCs w:val="24"/>
        </w:rPr>
      </w:pPr>
      <w:r w:rsidRPr="00FC7D5A">
        <w:rPr>
          <w:rFonts w:ascii="Arial" w:hAnsi="Arial" w:cs="Arial"/>
          <w:color w:val="000000"/>
          <w:sz w:val="24"/>
          <w:szCs w:val="24"/>
        </w:rPr>
        <w:t xml:space="preserve">The management structure of the MVTX is shown in </w:t>
      </w:r>
      <w:proofErr w:type="spellStart"/>
      <w:r w:rsidRPr="00FC7D5A">
        <w:rPr>
          <w:rFonts w:ascii="Arial" w:hAnsi="Arial" w:cs="Arial"/>
          <w:color w:val="000000"/>
          <w:sz w:val="24"/>
          <w:szCs w:val="24"/>
        </w:rPr>
        <w:t>figure</w:t>
      </w:r>
      <w:r w:rsidRPr="00FC7D5A">
        <w:rPr>
          <w:rFonts w:ascii="Arial" w:hAnsi="Arial" w:cs="Arial"/>
          <w:color w:val="FFFFFF"/>
          <w:sz w:val="18"/>
          <w:szCs w:val="18"/>
        </w:rPr>
        <w:t>Physics</w:t>
      </w:r>
      <w:proofErr w:type="spellEnd"/>
      <w:r w:rsidRPr="00FC7D5A">
        <w:rPr>
          <w:rFonts w:ascii="Arial" w:hAnsi="Arial" w:cs="Arial"/>
          <w:color w:val="FFFFFF"/>
          <w:sz w:val="18"/>
          <w:szCs w:val="18"/>
        </w:rPr>
        <w:t xml:space="preserve"> Department</w:t>
      </w:r>
    </w:p>
    <w:p w14:paraId="3FA2D187" w14:textId="77777777" w:rsidR="00EE269D" w:rsidRDefault="00EE269D" w:rsidP="00EE269D">
      <w:pPr>
        <w:autoSpaceDE w:val="0"/>
        <w:autoSpaceDN w:val="0"/>
        <w:adjustRightInd w:val="0"/>
        <w:spacing w:after="0" w:line="240" w:lineRule="auto"/>
        <w:rPr>
          <w:rFonts w:ascii="Cambria" w:hAnsi="Cambria" w:cs="Cambria"/>
          <w:color w:val="FFFFFF"/>
          <w:sz w:val="18"/>
          <w:szCs w:val="18"/>
        </w:rPr>
      </w:pPr>
      <w:r>
        <w:rPr>
          <w:rFonts w:ascii="Cambria" w:hAnsi="Cambria" w:cs="Cambria"/>
          <w:color w:val="FFFFFF"/>
          <w:sz w:val="18"/>
          <w:szCs w:val="18"/>
        </w:rPr>
        <w:t>J. Dunlop, BNL</w:t>
      </w:r>
    </w:p>
    <w:p w14:paraId="644CF478" w14:textId="77777777" w:rsidR="00EE269D" w:rsidRDefault="00EE269D" w:rsidP="00EE269D">
      <w:pPr>
        <w:autoSpaceDE w:val="0"/>
        <w:autoSpaceDN w:val="0"/>
        <w:adjustRightInd w:val="0"/>
        <w:spacing w:after="0" w:line="240" w:lineRule="auto"/>
        <w:rPr>
          <w:rFonts w:ascii="Cambria" w:hAnsi="Cambria" w:cs="Cambria"/>
          <w:color w:val="FFFFFF"/>
          <w:sz w:val="18"/>
          <w:szCs w:val="18"/>
        </w:rPr>
      </w:pPr>
      <w:r>
        <w:rPr>
          <w:rFonts w:ascii="Cambria" w:hAnsi="Cambria" w:cs="Cambria"/>
          <w:color w:val="FFFFFF"/>
          <w:sz w:val="18"/>
          <w:szCs w:val="18"/>
        </w:rPr>
        <w:t>STAR</w:t>
      </w:r>
    </w:p>
    <w:p w14:paraId="774B83EB" w14:textId="77777777" w:rsidR="00EE269D" w:rsidRDefault="00EE269D" w:rsidP="00EE269D">
      <w:pPr>
        <w:autoSpaceDE w:val="0"/>
        <w:autoSpaceDN w:val="0"/>
        <w:adjustRightInd w:val="0"/>
        <w:spacing w:after="0" w:line="240" w:lineRule="auto"/>
        <w:rPr>
          <w:rFonts w:ascii="Cambria" w:hAnsi="Cambria" w:cs="Cambria"/>
          <w:color w:val="FFFFFF"/>
          <w:sz w:val="18"/>
          <w:szCs w:val="18"/>
        </w:rPr>
      </w:pPr>
      <w:r>
        <w:rPr>
          <w:rFonts w:ascii="Cambria" w:hAnsi="Cambria" w:cs="Cambria"/>
          <w:color w:val="FFFFFF"/>
          <w:sz w:val="18"/>
          <w:szCs w:val="18"/>
        </w:rPr>
        <w:t>Z. Xu, BNL</w:t>
      </w:r>
    </w:p>
    <w:p w14:paraId="2710D6E4" w14:textId="77777777" w:rsidR="00EE269D" w:rsidRDefault="00EE269D" w:rsidP="00EE269D">
      <w:pPr>
        <w:autoSpaceDE w:val="0"/>
        <w:autoSpaceDN w:val="0"/>
        <w:adjustRightInd w:val="0"/>
        <w:spacing w:after="0" w:line="240" w:lineRule="auto"/>
        <w:rPr>
          <w:rFonts w:ascii="Cambria" w:hAnsi="Cambria" w:cs="Cambria"/>
          <w:color w:val="FFFFFF"/>
          <w:sz w:val="18"/>
          <w:szCs w:val="18"/>
        </w:rPr>
      </w:pPr>
      <w:r>
        <w:rPr>
          <w:rFonts w:ascii="Cambria" w:hAnsi="Cambria" w:cs="Cambria"/>
          <w:color w:val="FFFFFF"/>
          <w:sz w:val="18"/>
          <w:szCs w:val="18"/>
        </w:rPr>
        <w:t>Spokesperson</w:t>
      </w:r>
    </w:p>
    <w:p w14:paraId="1485F73E" w14:textId="5890CEDB" w:rsidR="00EE269D" w:rsidRDefault="00EE269D" w:rsidP="00EE269D">
      <w:pPr>
        <w:autoSpaceDE w:val="0"/>
        <w:autoSpaceDN w:val="0"/>
        <w:adjustRightInd w:val="0"/>
        <w:spacing w:after="0" w:line="240" w:lineRule="auto"/>
        <w:rPr>
          <w:rFonts w:ascii="Cambria" w:hAnsi="Cambria" w:cs="Cambria"/>
          <w:color w:val="FFFFFF"/>
          <w:sz w:val="18"/>
          <w:szCs w:val="18"/>
        </w:rPr>
      </w:pPr>
      <w:r>
        <w:rPr>
          <w:rFonts w:ascii="Cambria" w:hAnsi="Cambria" w:cs="Cambria"/>
          <w:color w:val="FFFFFF"/>
          <w:sz w:val="18"/>
          <w:szCs w:val="18"/>
        </w:rPr>
        <w:lastRenderedPageBreak/>
        <w:t>R.A. S</w:t>
      </w:r>
      <w:r w:rsidRPr="00EE269D">
        <w:rPr>
          <w:rFonts w:ascii="Cambria" w:hAnsi="Cambria" w:cs="Cambria"/>
          <w:noProof/>
          <w:color w:val="FFFFFF"/>
          <w:sz w:val="18"/>
          <w:szCs w:val="18"/>
        </w:rPr>
        <w:drawing>
          <wp:inline distT="0" distB="0" distL="0" distR="0" wp14:anchorId="54C74157" wp14:editId="740BCAA0">
            <wp:extent cx="5943600" cy="4999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999990"/>
                    </a:xfrm>
                    <a:prstGeom prst="rect">
                      <a:avLst/>
                    </a:prstGeom>
                    <a:noFill/>
                    <a:ln>
                      <a:noFill/>
                    </a:ln>
                  </pic:spPr>
                </pic:pic>
              </a:graphicData>
            </a:graphic>
          </wp:inline>
        </w:drawing>
      </w:r>
      <w:r>
        <w:rPr>
          <w:rFonts w:ascii="Cambria" w:hAnsi="Cambria" w:cs="Cambria"/>
          <w:color w:val="FFFFFF"/>
          <w:sz w:val="18"/>
          <w:szCs w:val="18"/>
        </w:rPr>
        <w:t xml:space="preserve"> BNL</w:t>
      </w:r>
    </w:p>
    <w:p w14:paraId="726AB447" w14:textId="77777777" w:rsidR="00EE269D" w:rsidRDefault="00EE269D" w:rsidP="00EE269D">
      <w:pPr>
        <w:autoSpaceDE w:val="0"/>
        <w:autoSpaceDN w:val="0"/>
        <w:adjustRightInd w:val="0"/>
        <w:spacing w:after="0" w:line="240" w:lineRule="auto"/>
        <w:rPr>
          <w:rFonts w:ascii="Cambria" w:hAnsi="Cambria" w:cs="Cambria"/>
          <w:color w:val="FFFFFF"/>
          <w:sz w:val="18"/>
          <w:szCs w:val="18"/>
        </w:rPr>
      </w:pPr>
      <w:r>
        <w:rPr>
          <w:rFonts w:ascii="Cambria" w:hAnsi="Cambria" w:cs="Cambria"/>
          <w:color w:val="FFFFFF"/>
          <w:sz w:val="18"/>
          <w:szCs w:val="18"/>
        </w:rPr>
        <w:t>MWPC</w:t>
      </w:r>
    </w:p>
    <w:p w14:paraId="0292EED3" w14:textId="77777777" w:rsidR="00EE269D" w:rsidRDefault="00EE269D" w:rsidP="00EE269D">
      <w:pPr>
        <w:autoSpaceDE w:val="0"/>
        <w:autoSpaceDN w:val="0"/>
        <w:adjustRightInd w:val="0"/>
        <w:spacing w:after="0" w:line="240" w:lineRule="auto"/>
        <w:rPr>
          <w:rFonts w:ascii="Cambria" w:hAnsi="Cambria" w:cs="Cambria"/>
          <w:color w:val="FFFFFF"/>
          <w:sz w:val="18"/>
          <w:szCs w:val="18"/>
        </w:rPr>
      </w:pPr>
      <w:r>
        <w:rPr>
          <w:rFonts w:ascii="Cambria" w:hAnsi="Cambria" w:cs="Cambria"/>
          <w:color w:val="FFFFFF"/>
          <w:sz w:val="18"/>
          <w:szCs w:val="18"/>
        </w:rPr>
        <w:t>Q. Xu, Shandong</w:t>
      </w:r>
    </w:p>
    <w:p w14:paraId="59E0BED6" w14:textId="77777777" w:rsidR="00EE269D" w:rsidRDefault="00EE269D" w:rsidP="00EE269D">
      <w:pPr>
        <w:autoSpaceDE w:val="0"/>
        <w:autoSpaceDN w:val="0"/>
        <w:adjustRightInd w:val="0"/>
        <w:spacing w:after="0" w:line="240" w:lineRule="auto"/>
        <w:rPr>
          <w:rFonts w:ascii="Cambria" w:hAnsi="Cambria" w:cs="Cambria"/>
          <w:color w:val="FFFFFF"/>
          <w:sz w:val="18"/>
          <w:szCs w:val="18"/>
        </w:rPr>
      </w:pPr>
      <w:r>
        <w:rPr>
          <w:rFonts w:ascii="Cambria" w:hAnsi="Cambria" w:cs="Cambria"/>
          <w:color w:val="FFFFFF"/>
          <w:sz w:val="18"/>
          <w:szCs w:val="18"/>
        </w:rPr>
        <w:t>Mechanics &amp;</w:t>
      </w:r>
    </w:p>
    <w:p w14:paraId="1E05FBB4" w14:textId="77777777" w:rsidR="00EE269D" w:rsidRDefault="00EE269D" w:rsidP="00EE269D">
      <w:pPr>
        <w:autoSpaceDE w:val="0"/>
        <w:autoSpaceDN w:val="0"/>
        <w:adjustRightInd w:val="0"/>
        <w:spacing w:after="0" w:line="240" w:lineRule="auto"/>
        <w:rPr>
          <w:rFonts w:ascii="Cambria" w:hAnsi="Cambria" w:cs="Cambria"/>
          <w:color w:val="FFFFFF"/>
          <w:sz w:val="18"/>
          <w:szCs w:val="18"/>
        </w:rPr>
      </w:pPr>
      <w:r>
        <w:rPr>
          <w:rFonts w:ascii="Cambria" w:hAnsi="Cambria" w:cs="Cambria"/>
          <w:color w:val="FFFFFF"/>
          <w:sz w:val="18"/>
          <w:szCs w:val="18"/>
        </w:rPr>
        <w:t>Installation</w:t>
      </w:r>
    </w:p>
    <w:p w14:paraId="6695D858" w14:textId="77777777" w:rsidR="00EE269D" w:rsidRDefault="00EE269D" w:rsidP="00EE269D">
      <w:pPr>
        <w:autoSpaceDE w:val="0"/>
        <w:autoSpaceDN w:val="0"/>
        <w:adjustRightInd w:val="0"/>
        <w:spacing w:after="0" w:line="240" w:lineRule="auto"/>
        <w:rPr>
          <w:rFonts w:ascii="Cambria" w:hAnsi="Cambria" w:cs="Cambria"/>
          <w:color w:val="FFFFFF"/>
          <w:sz w:val="18"/>
          <w:szCs w:val="18"/>
        </w:rPr>
      </w:pPr>
      <w:r>
        <w:rPr>
          <w:rFonts w:ascii="Cambria" w:hAnsi="Cambria" w:cs="Cambria"/>
          <w:color w:val="FFFFFF"/>
          <w:sz w:val="18"/>
          <w:szCs w:val="18"/>
        </w:rPr>
        <w:t>R. Sharma, BNL</w:t>
      </w:r>
    </w:p>
    <w:p w14:paraId="1D998B67" w14:textId="77777777" w:rsidR="00EE269D" w:rsidRDefault="00EE269D" w:rsidP="00EE269D">
      <w:pPr>
        <w:autoSpaceDE w:val="0"/>
        <w:autoSpaceDN w:val="0"/>
        <w:adjustRightInd w:val="0"/>
        <w:spacing w:after="0" w:line="240" w:lineRule="auto"/>
        <w:rPr>
          <w:rFonts w:ascii="Cambria" w:hAnsi="Cambria" w:cs="Cambria"/>
          <w:color w:val="FFFFFF"/>
          <w:sz w:val="18"/>
          <w:szCs w:val="18"/>
        </w:rPr>
      </w:pPr>
      <w:r>
        <w:rPr>
          <w:rFonts w:ascii="Cambria" w:hAnsi="Cambria" w:cs="Cambria"/>
          <w:color w:val="FFFFFF"/>
          <w:sz w:val="18"/>
          <w:szCs w:val="18"/>
        </w:rPr>
        <w:t>R. Pak, BNL</w:t>
      </w:r>
    </w:p>
    <w:p w14:paraId="2977457F" w14:textId="6905D822" w:rsidR="00EE269D" w:rsidRDefault="00EE269D" w:rsidP="00EE269D">
      <w:pPr>
        <w:autoSpaceDE w:val="0"/>
        <w:autoSpaceDN w:val="0"/>
        <w:adjustRightInd w:val="0"/>
        <w:spacing w:after="0" w:line="240" w:lineRule="auto"/>
        <w:rPr>
          <w:rFonts w:ascii="Cambria-Bold" w:hAnsi="Cambria-Bold" w:cs="Cambria-Bold"/>
          <w:b/>
          <w:bCs/>
          <w:color w:val="000000"/>
          <w:sz w:val="24"/>
          <w:szCs w:val="24"/>
        </w:rPr>
      </w:pPr>
      <w:r>
        <w:rPr>
          <w:rFonts w:ascii="Cambria-Bold" w:hAnsi="Cambria-Bold" w:cs="Cambria-Bold"/>
          <w:b/>
          <w:bCs/>
          <w:color w:val="000000"/>
          <w:sz w:val="24"/>
          <w:szCs w:val="24"/>
        </w:rPr>
        <w:t>3.2 Management Responsibilities.</w:t>
      </w:r>
    </w:p>
    <w:p w14:paraId="20418564" w14:textId="77777777" w:rsidR="00EE269D" w:rsidRDefault="00EE269D" w:rsidP="00EE269D">
      <w:pPr>
        <w:autoSpaceDE w:val="0"/>
        <w:autoSpaceDN w:val="0"/>
        <w:adjustRightInd w:val="0"/>
        <w:spacing w:after="0" w:line="240" w:lineRule="auto"/>
        <w:rPr>
          <w:rFonts w:ascii="Cambria-Bold" w:hAnsi="Cambria-Bold" w:cs="Cambria-Bold"/>
          <w:b/>
          <w:bCs/>
          <w:color w:val="000000"/>
          <w:sz w:val="24"/>
          <w:szCs w:val="24"/>
        </w:rPr>
      </w:pPr>
    </w:p>
    <w:p w14:paraId="448A631E" w14:textId="0FA085EB"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The sPHENIX Project Office provides the primary oversite of the MVTX project.</w:t>
      </w:r>
    </w:p>
    <w:p w14:paraId="0C095E47" w14:textId="195E4033" w:rsidR="00EE269D" w:rsidRPr="00EE269D" w:rsidRDefault="00EE269D" w:rsidP="00EE269D">
      <w:pPr>
        <w:pStyle w:val="ListParagraph"/>
        <w:numPr>
          <w:ilvl w:val="0"/>
          <w:numId w:val="2"/>
        </w:numPr>
        <w:autoSpaceDE w:val="0"/>
        <w:autoSpaceDN w:val="0"/>
        <w:adjustRightInd w:val="0"/>
        <w:spacing w:after="0" w:line="240" w:lineRule="auto"/>
        <w:rPr>
          <w:rFonts w:ascii="Cambria-Italic" w:hAnsi="Cambria-Italic" w:cs="Cambria-Italic"/>
          <w:iCs/>
          <w:color w:val="000000"/>
          <w:sz w:val="24"/>
          <w:szCs w:val="24"/>
        </w:rPr>
      </w:pPr>
      <w:r w:rsidRPr="00EE269D">
        <w:rPr>
          <w:rFonts w:ascii="Cambria-Italic" w:hAnsi="Cambria-Italic" w:cs="Cambria-Italic"/>
          <w:iCs/>
          <w:color w:val="000000"/>
          <w:sz w:val="24"/>
          <w:szCs w:val="24"/>
        </w:rPr>
        <w:t>Ultimately responsible and accountable to the BNL for executing the Project</w:t>
      </w:r>
    </w:p>
    <w:p w14:paraId="5E727E3E" w14:textId="77777777" w:rsidR="00EE269D" w:rsidRPr="00EE269D" w:rsidRDefault="00EE269D" w:rsidP="00EE269D">
      <w:pPr>
        <w:pStyle w:val="ListParagraph"/>
        <w:autoSpaceDE w:val="0"/>
        <w:autoSpaceDN w:val="0"/>
        <w:adjustRightInd w:val="0"/>
        <w:spacing w:after="0" w:line="240" w:lineRule="auto"/>
        <w:rPr>
          <w:rFonts w:ascii="Cambria-Italic" w:hAnsi="Cambria-Italic" w:cs="Cambria-Italic"/>
          <w:iCs/>
          <w:color w:val="000000"/>
          <w:sz w:val="24"/>
          <w:szCs w:val="24"/>
        </w:rPr>
      </w:pPr>
      <w:r w:rsidRPr="00EE269D">
        <w:rPr>
          <w:rFonts w:ascii="Cambria-Italic" w:hAnsi="Cambria-Italic" w:cs="Cambria-Italic"/>
          <w:iCs/>
          <w:color w:val="000000"/>
          <w:sz w:val="24"/>
          <w:szCs w:val="24"/>
        </w:rPr>
        <w:t>within scope, cost and schedule in a safe and responsible manner.</w:t>
      </w:r>
    </w:p>
    <w:p w14:paraId="6961F00E" w14:textId="39115565" w:rsidR="00EE269D" w:rsidRPr="00EE269D" w:rsidRDefault="00EE269D" w:rsidP="00EE269D">
      <w:pPr>
        <w:pStyle w:val="ListParagraph"/>
        <w:numPr>
          <w:ilvl w:val="0"/>
          <w:numId w:val="2"/>
        </w:numPr>
        <w:autoSpaceDE w:val="0"/>
        <w:autoSpaceDN w:val="0"/>
        <w:adjustRightInd w:val="0"/>
        <w:spacing w:after="0" w:line="240" w:lineRule="auto"/>
        <w:rPr>
          <w:rFonts w:ascii="Cambria-Italic" w:hAnsi="Cambria-Italic" w:cs="Cambria-Italic"/>
          <w:iCs/>
          <w:color w:val="000000"/>
          <w:sz w:val="24"/>
          <w:szCs w:val="24"/>
        </w:rPr>
      </w:pPr>
      <w:r w:rsidRPr="00EE269D">
        <w:rPr>
          <w:rFonts w:ascii="Cambria-Italic" w:hAnsi="Cambria-Italic" w:cs="Cambria-Italic"/>
          <w:iCs/>
          <w:color w:val="000000"/>
          <w:sz w:val="24"/>
          <w:szCs w:val="24"/>
        </w:rPr>
        <w:t>Provides access to laboratory/contractor resources, systems, and capabilities</w:t>
      </w:r>
    </w:p>
    <w:p w14:paraId="6D4339A0" w14:textId="0128C55F" w:rsidR="00EE269D" w:rsidRPr="00EE269D" w:rsidRDefault="00EE269D" w:rsidP="00EE269D">
      <w:pPr>
        <w:pStyle w:val="ListParagraph"/>
        <w:autoSpaceDE w:val="0"/>
        <w:autoSpaceDN w:val="0"/>
        <w:adjustRightInd w:val="0"/>
        <w:spacing w:after="0" w:line="240" w:lineRule="auto"/>
        <w:rPr>
          <w:rFonts w:ascii="Cambria-Italic" w:hAnsi="Cambria-Italic" w:cs="Cambria-Italic"/>
          <w:iCs/>
          <w:color w:val="000000"/>
          <w:sz w:val="24"/>
          <w:szCs w:val="24"/>
        </w:rPr>
      </w:pPr>
      <w:r w:rsidRPr="00EE269D">
        <w:rPr>
          <w:rFonts w:ascii="Cambria-Italic" w:hAnsi="Cambria-Italic" w:cs="Cambria-Italic"/>
          <w:iCs/>
          <w:color w:val="000000"/>
          <w:sz w:val="24"/>
          <w:szCs w:val="24"/>
        </w:rPr>
        <w:t>required to execute the Project.</w:t>
      </w:r>
    </w:p>
    <w:p w14:paraId="1428778D" w14:textId="77777777" w:rsidR="00EE269D" w:rsidRDefault="00EE269D" w:rsidP="00EE269D">
      <w:pPr>
        <w:autoSpaceDE w:val="0"/>
        <w:autoSpaceDN w:val="0"/>
        <w:adjustRightInd w:val="0"/>
        <w:spacing w:after="0" w:line="240" w:lineRule="auto"/>
        <w:rPr>
          <w:rFonts w:ascii="Cambria-Italic" w:hAnsi="Cambria-Italic" w:cs="Cambria-Italic"/>
          <w:i/>
          <w:iCs/>
          <w:color w:val="000000"/>
          <w:sz w:val="24"/>
          <w:szCs w:val="24"/>
        </w:rPr>
      </w:pPr>
    </w:p>
    <w:p w14:paraId="3872DF8A" w14:textId="43E9F354" w:rsidR="00EE269D" w:rsidRPr="00EE269D" w:rsidRDefault="00EE269D" w:rsidP="00EE269D">
      <w:pPr>
        <w:autoSpaceDE w:val="0"/>
        <w:autoSpaceDN w:val="0"/>
        <w:adjustRightInd w:val="0"/>
        <w:spacing w:after="0" w:line="240" w:lineRule="auto"/>
        <w:rPr>
          <w:rFonts w:ascii="Cambria" w:hAnsi="Cambria" w:cs="Cambria"/>
          <w:color w:val="000000"/>
          <w:sz w:val="24"/>
          <w:szCs w:val="24"/>
        </w:rPr>
      </w:pPr>
      <w:r w:rsidRPr="00EE269D">
        <w:rPr>
          <w:rFonts w:ascii="Cambria" w:hAnsi="Cambria" w:cs="Cambria"/>
          <w:color w:val="000000"/>
          <w:sz w:val="24"/>
          <w:szCs w:val="24"/>
        </w:rPr>
        <w:t xml:space="preserve">MVTX Project Manager (PM) </w:t>
      </w:r>
      <w:r w:rsidRPr="00EE269D">
        <w:rPr>
          <w:rFonts w:ascii="Cambria-Italic" w:hAnsi="Cambria-Italic" w:cs="Cambria-Italic"/>
          <w:iCs/>
          <w:color w:val="000000"/>
          <w:sz w:val="24"/>
          <w:szCs w:val="24"/>
        </w:rPr>
        <w:t>has the responsibility and authority for delivering the</w:t>
      </w:r>
    </w:p>
    <w:p w14:paraId="29F67FE2" w14:textId="77777777" w:rsidR="00EE269D" w:rsidRPr="00EE269D" w:rsidRDefault="00EE269D" w:rsidP="00EE269D">
      <w:pPr>
        <w:autoSpaceDE w:val="0"/>
        <w:autoSpaceDN w:val="0"/>
        <w:adjustRightInd w:val="0"/>
        <w:spacing w:after="0" w:line="240" w:lineRule="auto"/>
        <w:rPr>
          <w:rFonts w:ascii="Cambria-Italic" w:hAnsi="Cambria-Italic" w:cs="Cambria-Italic"/>
          <w:iCs/>
          <w:color w:val="000000"/>
          <w:sz w:val="24"/>
          <w:szCs w:val="24"/>
        </w:rPr>
      </w:pPr>
      <w:r w:rsidRPr="00EE269D">
        <w:rPr>
          <w:rFonts w:ascii="Cambria-Italic" w:hAnsi="Cambria-Italic" w:cs="Cambria-Italic"/>
          <w:iCs/>
          <w:color w:val="000000"/>
          <w:sz w:val="24"/>
          <w:szCs w:val="24"/>
        </w:rPr>
        <w:t>project scope on schedule and within budget.</w:t>
      </w:r>
    </w:p>
    <w:p w14:paraId="7094D744" w14:textId="1FA74E22" w:rsidR="00EE269D" w:rsidRPr="00EE269D" w:rsidRDefault="00EE269D" w:rsidP="00EE269D">
      <w:pPr>
        <w:pStyle w:val="ListParagraph"/>
        <w:numPr>
          <w:ilvl w:val="0"/>
          <w:numId w:val="2"/>
        </w:numPr>
        <w:autoSpaceDE w:val="0"/>
        <w:autoSpaceDN w:val="0"/>
        <w:adjustRightInd w:val="0"/>
        <w:spacing w:after="0" w:line="240" w:lineRule="auto"/>
        <w:rPr>
          <w:rFonts w:ascii="Cambria-Italic" w:hAnsi="Cambria-Italic" w:cs="Cambria-Italic"/>
          <w:iCs/>
          <w:color w:val="000000"/>
          <w:sz w:val="24"/>
          <w:szCs w:val="24"/>
        </w:rPr>
      </w:pPr>
      <w:r w:rsidRPr="00EE269D">
        <w:rPr>
          <w:rFonts w:ascii="Cambria-Italic" w:hAnsi="Cambria-Italic" w:cs="Cambria-Italic"/>
          <w:iCs/>
          <w:color w:val="000000"/>
          <w:sz w:val="24"/>
          <w:szCs w:val="24"/>
        </w:rPr>
        <w:t>Manages the execution of the project to ensure that the project is completed</w:t>
      </w:r>
    </w:p>
    <w:p w14:paraId="19134790" w14:textId="77777777" w:rsidR="00EE269D" w:rsidRPr="00EE269D" w:rsidRDefault="00EE269D" w:rsidP="00EE269D">
      <w:pPr>
        <w:pStyle w:val="ListParagraph"/>
        <w:autoSpaceDE w:val="0"/>
        <w:autoSpaceDN w:val="0"/>
        <w:adjustRightInd w:val="0"/>
        <w:spacing w:after="0" w:line="240" w:lineRule="auto"/>
        <w:rPr>
          <w:rFonts w:ascii="Cambria-Italic" w:hAnsi="Cambria-Italic" w:cs="Cambria-Italic"/>
          <w:iCs/>
          <w:color w:val="000000"/>
          <w:sz w:val="24"/>
          <w:szCs w:val="24"/>
        </w:rPr>
      </w:pPr>
      <w:r w:rsidRPr="00EE269D">
        <w:rPr>
          <w:rFonts w:ascii="Cambria-Italic" w:hAnsi="Cambria-Italic" w:cs="Cambria-Italic"/>
          <w:iCs/>
          <w:color w:val="000000"/>
          <w:sz w:val="24"/>
          <w:szCs w:val="24"/>
        </w:rPr>
        <w:lastRenderedPageBreak/>
        <w:t>within approved cost, schedule and technical scope.</w:t>
      </w:r>
    </w:p>
    <w:p w14:paraId="13AD1C88" w14:textId="2A12E183" w:rsidR="00EE269D" w:rsidRPr="00EE269D" w:rsidRDefault="00EE269D" w:rsidP="00EE269D">
      <w:pPr>
        <w:pStyle w:val="ListParagraph"/>
        <w:numPr>
          <w:ilvl w:val="0"/>
          <w:numId w:val="2"/>
        </w:numPr>
        <w:autoSpaceDE w:val="0"/>
        <w:autoSpaceDN w:val="0"/>
        <w:adjustRightInd w:val="0"/>
        <w:spacing w:after="0" w:line="240" w:lineRule="auto"/>
        <w:rPr>
          <w:rFonts w:ascii="Cambria-Italic" w:hAnsi="Cambria-Italic" w:cs="Cambria-Italic"/>
          <w:iCs/>
          <w:color w:val="000000"/>
          <w:sz w:val="24"/>
          <w:szCs w:val="24"/>
        </w:rPr>
      </w:pPr>
      <w:r w:rsidRPr="00EE269D">
        <w:rPr>
          <w:rFonts w:ascii="Cambria-Italic" w:hAnsi="Cambria-Italic" w:cs="Cambria-Italic"/>
          <w:iCs/>
          <w:color w:val="000000"/>
          <w:sz w:val="24"/>
          <w:szCs w:val="24"/>
        </w:rPr>
        <w:t>Ensures that effective project management systems, cost controls and milestone</w:t>
      </w:r>
    </w:p>
    <w:p w14:paraId="732C503D" w14:textId="77777777" w:rsidR="00EE269D" w:rsidRPr="00EE269D" w:rsidRDefault="00EE269D" w:rsidP="00EE269D">
      <w:pPr>
        <w:pStyle w:val="ListParagraph"/>
        <w:autoSpaceDE w:val="0"/>
        <w:autoSpaceDN w:val="0"/>
        <w:adjustRightInd w:val="0"/>
        <w:spacing w:after="0" w:line="240" w:lineRule="auto"/>
        <w:rPr>
          <w:rFonts w:ascii="Cambria-Italic" w:hAnsi="Cambria-Italic" w:cs="Cambria-Italic"/>
          <w:iCs/>
          <w:color w:val="000000"/>
          <w:sz w:val="24"/>
          <w:szCs w:val="24"/>
        </w:rPr>
      </w:pPr>
      <w:r w:rsidRPr="00EE269D">
        <w:rPr>
          <w:rFonts w:ascii="Cambria-Italic" w:hAnsi="Cambria-Italic" w:cs="Cambria-Italic"/>
          <w:iCs/>
          <w:color w:val="000000"/>
          <w:sz w:val="24"/>
          <w:szCs w:val="24"/>
        </w:rPr>
        <w:t>schedules are developed, documented and implemented to assess project</w:t>
      </w:r>
    </w:p>
    <w:p w14:paraId="060F3544" w14:textId="77777777" w:rsidR="00EE269D" w:rsidRPr="00EE269D" w:rsidRDefault="00EE269D" w:rsidP="00EE269D">
      <w:pPr>
        <w:pStyle w:val="ListParagraph"/>
        <w:autoSpaceDE w:val="0"/>
        <w:autoSpaceDN w:val="0"/>
        <w:adjustRightInd w:val="0"/>
        <w:spacing w:after="0" w:line="240" w:lineRule="auto"/>
        <w:rPr>
          <w:rFonts w:ascii="Cambria-Italic" w:hAnsi="Cambria-Italic" w:cs="Cambria-Italic"/>
          <w:iCs/>
          <w:color w:val="000000"/>
          <w:sz w:val="24"/>
          <w:szCs w:val="24"/>
        </w:rPr>
      </w:pPr>
      <w:r w:rsidRPr="00EE269D">
        <w:rPr>
          <w:rFonts w:ascii="Cambria-Italic" w:hAnsi="Cambria-Italic" w:cs="Cambria-Italic"/>
          <w:iCs/>
          <w:color w:val="000000"/>
          <w:sz w:val="24"/>
          <w:szCs w:val="24"/>
        </w:rPr>
        <w:t>performance.</w:t>
      </w:r>
    </w:p>
    <w:p w14:paraId="107B23FC" w14:textId="436C3627" w:rsidR="00EE269D" w:rsidRPr="00EE269D" w:rsidRDefault="00EE269D" w:rsidP="00EE269D">
      <w:pPr>
        <w:pStyle w:val="ListParagraph"/>
        <w:numPr>
          <w:ilvl w:val="0"/>
          <w:numId w:val="2"/>
        </w:numPr>
        <w:autoSpaceDE w:val="0"/>
        <w:autoSpaceDN w:val="0"/>
        <w:adjustRightInd w:val="0"/>
        <w:spacing w:after="0" w:line="240" w:lineRule="auto"/>
        <w:rPr>
          <w:rFonts w:ascii="Cambria-Italic" w:hAnsi="Cambria-Italic" w:cs="Cambria-Italic"/>
          <w:iCs/>
          <w:color w:val="000000"/>
          <w:sz w:val="24"/>
          <w:szCs w:val="24"/>
        </w:rPr>
      </w:pPr>
      <w:r w:rsidRPr="00EE269D">
        <w:rPr>
          <w:rFonts w:ascii="Cambria-Italic" w:hAnsi="Cambria-Italic" w:cs="Cambria-Italic"/>
          <w:iCs/>
          <w:color w:val="000000"/>
          <w:sz w:val="24"/>
          <w:szCs w:val="24"/>
        </w:rPr>
        <w:t>Ensures that project activities are conducted in a safe and environmentally</w:t>
      </w:r>
    </w:p>
    <w:p w14:paraId="5F202973" w14:textId="77777777" w:rsidR="00EE269D" w:rsidRPr="00EE269D" w:rsidRDefault="00EE269D" w:rsidP="008A1247">
      <w:pPr>
        <w:pStyle w:val="ListParagraph"/>
        <w:autoSpaceDE w:val="0"/>
        <w:autoSpaceDN w:val="0"/>
        <w:adjustRightInd w:val="0"/>
        <w:spacing w:after="0" w:line="240" w:lineRule="auto"/>
        <w:rPr>
          <w:rFonts w:ascii="Cambria-Italic" w:hAnsi="Cambria-Italic" w:cs="Cambria-Italic"/>
          <w:iCs/>
          <w:color w:val="000000"/>
          <w:sz w:val="24"/>
          <w:szCs w:val="24"/>
        </w:rPr>
      </w:pPr>
      <w:r w:rsidRPr="00EE269D">
        <w:rPr>
          <w:rFonts w:ascii="Cambria-Italic" w:hAnsi="Cambria-Italic" w:cs="Cambria-Italic"/>
          <w:iCs/>
          <w:color w:val="000000"/>
          <w:sz w:val="24"/>
          <w:szCs w:val="24"/>
        </w:rPr>
        <w:t>sound manner.</w:t>
      </w:r>
    </w:p>
    <w:p w14:paraId="6FE315BD" w14:textId="54D6115F" w:rsidR="00EE269D" w:rsidRPr="00EE269D" w:rsidRDefault="00EE269D" w:rsidP="00EE269D">
      <w:pPr>
        <w:pStyle w:val="ListParagraph"/>
        <w:numPr>
          <w:ilvl w:val="0"/>
          <w:numId w:val="2"/>
        </w:numPr>
        <w:autoSpaceDE w:val="0"/>
        <w:autoSpaceDN w:val="0"/>
        <w:adjustRightInd w:val="0"/>
        <w:spacing w:after="0" w:line="240" w:lineRule="auto"/>
        <w:rPr>
          <w:rFonts w:ascii="Cambria-Italic" w:hAnsi="Cambria-Italic" w:cs="Cambria-Italic"/>
          <w:iCs/>
          <w:color w:val="000000"/>
          <w:sz w:val="24"/>
          <w:szCs w:val="24"/>
        </w:rPr>
      </w:pPr>
      <w:r w:rsidRPr="00EE269D">
        <w:rPr>
          <w:rFonts w:ascii="Cambria-Italic" w:hAnsi="Cambria-Italic" w:cs="Cambria-Italic"/>
          <w:iCs/>
          <w:color w:val="000000"/>
          <w:sz w:val="24"/>
          <w:szCs w:val="24"/>
        </w:rPr>
        <w:t>Ensures ES&amp;H responsibilities and requirements are integrated into the project.</w:t>
      </w:r>
    </w:p>
    <w:p w14:paraId="75C5E240" w14:textId="517926FA" w:rsidR="00EE269D" w:rsidRPr="00EE269D" w:rsidRDefault="00EE269D" w:rsidP="00EE269D">
      <w:pPr>
        <w:pStyle w:val="ListParagraph"/>
        <w:numPr>
          <w:ilvl w:val="0"/>
          <w:numId w:val="2"/>
        </w:numPr>
        <w:autoSpaceDE w:val="0"/>
        <w:autoSpaceDN w:val="0"/>
        <w:adjustRightInd w:val="0"/>
        <w:spacing w:after="0" w:line="240" w:lineRule="auto"/>
        <w:rPr>
          <w:rFonts w:ascii="Cambria-Italic" w:hAnsi="Cambria-Italic" w:cs="Cambria-Italic"/>
          <w:iCs/>
          <w:color w:val="000000"/>
          <w:sz w:val="24"/>
          <w:szCs w:val="24"/>
        </w:rPr>
      </w:pPr>
      <w:r w:rsidRPr="00EE269D">
        <w:rPr>
          <w:rFonts w:ascii="Cambria-Italic" w:hAnsi="Cambria-Italic" w:cs="Cambria-Italic"/>
          <w:iCs/>
          <w:color w:val="000000"/>
          <w:sz w:val="24"/>
          <w:szCs w:val="24"/>
        </w:rPr>
        <w:t>Oversees design, fabrication, installation, and construction. Represents the</w:t>
      </w:r>
    </w:p>
    <w:p w14:paraId="4385B559" w14:textId="77777777" w:rsidR="00EE269D" w:rsidRPr="00EE269D" w:rsidRDefault="00EE269D" w:rsidP="008A1247">
      <w:pPr>
        <w:pStyle w:val="ListParagraph"/>
        <w:autoSpaceDE w:val="0"/>
        <w:autoSpaceDN w:val="0"/>
        <w:adjustRightInd w:val="0"/>
        <w:spacing w:after="0" w:line="240" w:lineRule="auto"/>
        <w:rPr>
          <w:rFonts w:ascii="Cambria-Italic" w:hAnsi="Cambria-Italic" w:cs="Cambria-Italic"/>
          <w:iCs/>
          <w:color w:val="000000"/>
          <w:sz w:val="24"/>
          <w:szCs w:val="24"/>
        </w:rPr>
      </w:pPr>
      <w:r w:rsidRPr="00EE269D">
        <w:rPr>
          <w:rFonts w:ascii="Cambria-Italic" w:hAnsi="Cambria-Italic" w:cs="Cambria-Italic"/>
          <w:iCs/>
          <w:color w:val="000000"/>
          <w:sz w:val="24"/>
          <w:szCs w:val="24"/>
        </w:rPr>
        <w:t>project in interactions with the DOE.</w:t>
      </w:r>
    </w:p>
    <w:p w14:paraId="7B8AFA29" w14:textId="36017C02" w:rsidR="00EE269D" w:rsidRPr="00EE269D" w:rsidRDefault="00EE269D" w:rsidP="00EE269D">
      <w:pPr>
        <w:pStyle w:val="ListParagraph"/>
        <w:numPr>
          <w:ilvl w:val="0"/>
          <w:numId w:val="2"/>
        </w:numPr>
        <w:autoSpaceDE w:val="0"/>
        <w:autoSpaceDN w:val="0"/>
        <w:adjustRightInd w:val="0"/>
        <w:spacing w:after="0" w:line="240" w:lineRule="auto"/>
        <w:rPr>
          <w:rFonts w:ascii="Cambria-Italic" w:hAnsi="Cambria-Italic" w:cs="Cambria-Italic"/>
          <w:iCs/>
          <w:color w:val="000000"/>
          <w:sz w:val="24"/>
          <w:szCs w:val="24"/>
        </w:rPr>
      </w:pPr>
      <w:r w:rsidRPr="00EE269D">
        <w:rPr>
          <w:rFonts w:ascii="Cambria-Italic" w:hAnsi="Cambria-Italic" w:cs="Cambria-Italic"/>
          <w:iCs/>
          <w:color w:val="000000"/>
          <w:sz w:val="24"/>
          <w:szCs w:val="24"/>
        </w:rPr>
        <w:t>Requests and coordinates internal and external peer reviews of the project.</w:t>
      </w:r>
    </w:p>
    <w:p w14:paraId="1DABE724" w14:textId="77777777" w:rsidR="00EE269D" w:rsidRPr="00EE269D" w:rsidRDefault="00EE269D" w:rsidP="00EE269D">
      <w:pPr>
        <w:pStyle w:val="ListParagraph"/>
        <w:numPr>
          <w:ilvl w:val="0"/>
          <w:numId w:val="2"/>
        </w:numPr>
        <w:autoSpaceDE w:val="0"/>
        <w:autoSpaceDN w:val="0"/>
        <w:adjustRightInd w:val="0"/>
        <w:spacing w:after="0" w:line="240" w:lineRule="auto"/>
        <w:rPr>
          <w:rFonts w:ascii="Cambria-Italic" w:hAnsi="Cambria-Italic" w:cs="Cambria-Italic"/>
          <w:iCs/>
          <w:color w:val="000000"/>
          <w:sz w:val="24"/>
          <w:szCs w:val="24"/>
        </w:rPr>
      </w:pPr>
      <w:r w:rsidRPr="00EE269D">
        <w:rPr>
          <w:rFonts w:ascii="Cambria-Italic" w:hAnsi="Cambria-Italic" w:cs="Cambria-Italic"/>
          <w:iCs/>
          <w:color w:val="000000"/>
          <w:sz w:val="24"/>
          <w:szCs w:val="24"/>
        </w:rPr>
        <w:t>Responsible for risk evaluation and management in accordance with the risk</w:t>
      </w:r>
    </w:p>
    <w:p w14:paraId="66CF0773" w14:textId="77777777" w:rsidR="00EE269D" w:rsidRPr="00EE269D" w:rsidRDefault="00EE269D" w:rsidP="008A1247">
      <w:pPr>
        <w:pStyle w:val="ListParagraph"/>
        <w:autoSpaceDE w:val="0"/>
        <w:autoSpaceDN w:val="0"/>
        <w:adjustRightInd w:val="0"/>
        <w:spacing w:after="0" w:line="240" w:lineRule="auto"/>
        <w:rPr>
          <w:rFonts w:ascii="Cambria-Italic" w:hAnsi="Cambria-Italic" w:cs="Cambria-Italic"/>
          <w:iCs/>
          <w:color w:val="000000"/>
          <w:sz w:val="24"/>
          <w:szCs w:val="24"/>
        </w:rPr>
      </w:pPr>
      <w:r w:rsidRPr="00EE269D">
        <w:rPr>
          <w:rFonts w:ascii="Cambria-Italic" w:hAnsi="Cambria-Italic" w:cs="Cambria-Italic"/>
          <w:iCs/>
          <w:color w:val="000000"/>
          <w:sz w:val="24"/>
          <w:szCs w:val="24"/>
        </w:rPr>
        <w:t>management plan.</w:t>
      </w:r>
    </w:p>
    <w:p w14:paraId="2F5DA989" w14:textId="62688D23" w:rsidR="00EE269D" w:rsidRPr="00EE269D" w:rsidRDefault="00EE269D" w:rsidP="00EE269D">
      <w:pPr>
        <w:pStyle w:val="ListParagraph"/>
        <w:numPr>
          <w:ilvl w:val="0"/>
          <w:numId w:val="2"/>
        </w:numPr>
        <w:autoSpaceDE w:val="0"/>
        <w:autoSpaceDN w:val="0"/>
        <w:adjustRightInd w:val="0"/>
        <w:spacing w:after="0" w:line="240" w:lineRule="auto"/>
        <w:rPr>
          <w:rFonts w:ascii="Cambria-Italic" w:hAnsi="Cambria-Italic" w:cs="Cambria-Italic"/>
          <w:iCs/>
          <w:color w:val="000000"/>
          <w:sz w:val="24"/>
          <w:szCs w:val="24"/>
        </w:rPr>
      </w:pPr>
      <w:r w:rsidRPr="00EE269D">
        <w:rPr>
          <w:rFonts w:ascii="Cambria-Italic" w:hAnsi="Cambria-Italic" w:cs="Cambria-Italic"/>
          <w:iCs/>
          <w:color w:val="000000"/>
          <w:sz w:val="24"/>
          <w:szCs w:val="24"/>
        </w:rPr>
        <w:t xml:space="preserve">Manages the interface and coordination of requirements with other </w:t>
      </w:r>
      <w:r w:rsidR="008A1247">
        <w:rPr>
          <w:rFonts w:ascii="Cambria-Italic" w:hAnsi="Cambria-Italic" w:cs="Cambria-Italic"/>
          <w:iCs/>
          <w:color w:val="000000"/>
          <w:sz w:val="24"/>
          <w:szCs w:val="24"/>
        </w:rPr>
        <w:t>sPHENIX</w:t>
      </w:r>
    </w:p>
    <w:p w14:paraId="373DAFAE" w14:textId="3619F663" w:rsidR="00EE269D" w:rsidRDefault="00EE269D" w:rsidP="008A1247">
      <w:pPr>
        <w:pStyle w:val="ListParagraph"/>
        <w:autoSpaceDE w:val="0"/>
        <w:autoSpaceDN w:val="0"/>
        <w:adjustRightInd w:val="0"/>
        <w:spacing w:after="0" w:line="240" w:lineRule="auto"/>
        <w:rPr>
          <w:rFonts w:ascii="Cambria-Italic" w:hAnsi="Cambria-Italic" w:cs="Cambria-Italic"/>
          <w:iCs/>
          <w:color w:val="000000"/>
          <w:sz w:val="24"/>
          <w:szCs w:val="24"/>
        </w:rPr>
      </w:pPr>
      <w:r w:rsidRPr="00EE269D">
        <w:rPr>
          <w:rFonts w:ascii="Cambria-Italic" w:hAnsi="Cambria-Italic" w:cs="Cambria-Italic"/>
          <w:iCs/>
          <w:color w:val="000000"/>
          <w:sz w:val="24"/>
          <w:szCs w:val="24"/>
        </w:rPr>
        <w:t>projects.</w:t>
      </w:r>
    </w:p>
    <w:p w14:paraId="1D0E02A4" w14:textId="77777777" w:rsidR="00897DA9" w:rsidRPr="00EE269D" w:rsidRDefault="00897DA9" w:rsidP="008A1247">
      <w:pPr>
        <w:pStyle w:val="ListParagraph"/>
        <w:autoSpaceDE w:val="0"/>
        <w:autoSpaceDN w:val="0"/>
        <w:adjustRightInd w:val="0"/>
        <w:spacing w:after="0" w:line="240" w:lineRule="auto"/>
        <w:rPr>
          <w:rFonts w:ascii="Cambria-Italic" w:hAnsi="Cambria-Italic" w:cs="Cambria-Italic"/>
          <w:iCs/>
          <w:color w:val="000000"/>
          <w:sz w:val="24"/>
          <w:szCs w:val="24"/>
        </w:rPr>
      </w:pPr>
    </w:p>
    <w:p w14:paraId="548987EB" w14:textId="44A35BEB" w:rsidR="00EE269D" w:rsidRPr="00EE269D" w:rsidRDefault="00EE269D" w:rsidP="008A1247">
      <w:pPr>
        <w:pStyle w:val="ListParagraph"/>
        <w:autoSpaceDE w:val="0"/>
        <w:autoSpaceDN w:val="0"/>
        <w:adjustRightInd w:val="0"/>
        <w:spacing w:after="0" w:line="240" w:lineRule="auto"/>
        <w:rPr>
          <w:rFonts w:ascii="Cambria" w:hAnsi="Cambria" w:cs="Cambria"/>
          <w:color w:val="000000"/>
          <w:sz w:val="24"/>
          <w:szCs w:val="24"/>
        </w:rPr>
      </w:pPr>
      <w:r w:rsidRPr="00EE269D">
        <w:rPr>
          <w:rFonts w:ascii="Cambria" w:hAnsi="Cambria" w:cs="Cambria"/>
          <w:color w:val="000000"/>
          <w:sz w:val="24"/>
          <w:szCs w:val="24"/>
        </w:rPr>
        <w:t>MVTX Deputy Project Managers (DPM)</w:t>
      </w:r>
    </w:p>
    <w:p w14:paraId="3B3016D1" w14:textId="48773A9E" w:rsidR="00EE269D" w:rsidRPr="008A1247" w:rsidRDefault="00EE269D" w:rsidP="00EE269D">
      <w:pPr>
        <w:pStyle w:val="ListParagraph"/>
        <w:numPr>
          <w:ilvl w:val="0"/>
          <w:numId w:val="2"/>
        </w:numPr>
        <w:autoSpaceDE w:val="0"/>
        <w:autoSpaceDN w:val="0"/>
        <w:adjustRightInd w:val="0"/>
        <w:spacing w:after="0" w:line="240" w:lineRule="auto"/>
        <w:rPr>
          <w:rFonts w:ascii="Cambria-Italic" w:hAnsi="Cambria-Italic" w:cs="Cambria-Italic"/>
          <w:iCs/>
          <w:color w:val="000000"/>
          <w:sz w:val="24"/>
          <w:szCs w:val="24"/>
        </w:rPr>
      </w:pPr>
      <w:r w:rsidRPr="008A1247">
        <w:rPr>
          <w:rFonts w:ascii="Cambria-Italic" w:hAnsi="Cambria-Italic" w:cs="Cambria-Italic"/>
          <w:iCs/>
          <w:color w:val="000000"/>
          <w:sz w:val="24"/>
          <w:szCs w:val="24"/>
        </w:rPr>
        <w:t>Assists the PM in all matters relating to the MVTX Project, including the</w:t>
      </w:r>
    </w:p>
    <w:p w14:paraId="69EAC924" w14:textId="292159CD" w:rsidR="00EE269D" w:rsidRPr="008A1247" w:rsidRDefault="00EE269D" w:rsidP="008A1247">
      <w:pPr>
        <w:pStyle w:val="ListParagraph"/>
        <w:autoSpaceDE w:val="0"/>
        <w:autoSpaceDN w:val="0"/>
        <w:adjustRightInd w:val="0"/>
        <w:spacing w:after="0" w:line="240" w:lineRule="auto"/>
        <w:rPr>
          <w:rFonts w:ascii="Cambria-Italic" w:hAnsi="Cambria-Italic" w:cs="Cambria-Italic"/>
          <w:iCs/>
          <w:color w:val="000000"/>
          <w:sz w:val="24"/>
          <w:szCs w:val="24"/>
        </w:rPr>
      </w:pPr>
      <w:r w:rsidRPr="008A1247">
        <w:rPr>
          <w:rFonts w:ascii="Cambria-Italic" w:hAnsi="Cambria-Italic" w:cs="Cambria-Italic"/>
          <w:iCs/>
          <w:color w:val="000000"/>
          <w:sz w:val="24"/>
          <w:szCs w:val="24"/>
        </w:rPr>
        <w:t>planning, procurement, disposition and accounting of resources, progress</w:t>
      </w:r>
    </w:p>
    <w:p w14:paraId="6F336A0E" w14:textId="77777777" w:rsidR="00EE269D" w:rsidRPr="008A1247" w:rsidRDefault="00EE269D" w:rsidP="008A1247">
      <w:pPr>
        <w:pStyle w:val="ListParagraph"/>
        <w:autoSpaceDE w:val="0"/>
        <w:autoSpaceDN w:val="0"/>
        <w:adjustRightInd w:val="0"/>
        <w:spacing w:after="0" w:line="240" w:lineRule="auto"/>
        <w:rPr>
          <w:rFonts w:ascii="Cambria-Italic" w:hAnsi="Cambria-Italic" w:cs="Cambria-Italic"/>
          <w:iCs/>
          <w:color w:val="000000"/>
          <w:sz w:val="24"/>
          <w:szCs w:val="24"/>
        </w:rPr>
      </w:pPr>
      <w:r w:rsidRPr="008A1247">
        <w:rPr>
          <w:rFonts w:ascii="Cambria-Italic" w:hAnsi="Cambria-Italic" w:cs="Cambria-Italic"/>
          <w:iCs/>
          <w:color w:val="000000"/>
          <w:sz w:val="24"/>
          <w:szCs w:val="24"/>
        </w:rPr>
        <w:t>reports on project activities, ESSH/QA issues, and Risk Management. In the</w:t>
      </w:r>
    </w:p>
    <w:p w14:paraId="22787E38" w14:textId="77777777" w:rsidR="00EE269D" w:rsidRPr="008A1247" w:rsidRDefault="00EE269D" w:rsidP="008A1247">
      <w:pPr>
        <w:pStyle w:val="ListParagraph"/>
        <w:autoSpaceDE w:val="0"/>
        <w:autoSpaceDN w:val="0"/>
        <w:adjustRightInd w:val="0"/>
        <w:spacing w:after="0" w:line="240" w:lineRule="auto"/>
        <w:rPr>
          <w:rFonts w:ascii="Cambria-Italic" w:hAnsi="Cambria-Italic" w:cs="Cambria-Italic"/>
          <w:iCs/>
          <w:color w:val="000000"/>
          <w:sz w:val="24"/>
          <w:szCs w:val="24"/>
        </w:rPr>
      </w:pPr>
      <w:r w:rsidRPr="008A1247">
        <w:rPr>
          <w:rFonts w:ascii="Cambria-Italic" w:hAnsi="Cambria-Italic" w:cs="Cambria-Italic"/>
          <w:iCs/>
          <w:color w:val="000000"/>
          <w:sz w:val="24"/>
          <w:szCs w:val="24"/>
        </w:rPr>
        <w:t>absence of the CPM, the DPM assumes the project management responsibilities.</w:t>
      </w:r>
    </w:p>
    <w:p w14:paraId="038EE9D0" w14:textId="3B1AE159" w:rsidR="00EE269D" w:rsidRPr="008A1247" w:rsidRDefault="00EE269D" w:rsidP="008A1247">
      <w:pPr>
        <w:pStyle w:val="ListParagraph"/>
        <w:numPr>
          <w:ilvl w:val="0"/>
          <w:numId w:val="2"/>
        </w:numPr>
        <w:autoSpaceDE w:val="0"/>
        <w:autoSpaceDN w:val="0"/>
        <w:adjustRightInd w:val="0"/>
        <w:spacing w:after="0" w:line="240" w:lineRule="auto"/>
        <w:rPr>
          <w:rFonts w:ascii="Cambria-Italic" w:hAnsi="Cambria-Italic" w:cs="Cambria-Italic"/>
          <w:iCs/>
          <w:color w:val="000000"/>
          <w:sz w:val="24"/>
          <w:szCs w:val="24"/>
        </w:rPr>
      </w:pPr>
      <w:r w:rsidRPr="008A1247">
        <w:rPr>
          <w:rFonts w:ascii="Cambria-Italic" w:hAnsi="Cambria-Italic" w:cs="Cambria-Italic"/>
          <w:iCs/>
          <w:color w:val="000000"/>
          <w:sz w:val="24"/>
          <w:szCs w:val="24"/>
        </w:rPr>
        <w:t>Coordinates the interface with the LBNL engineering division.</w:t>
      </w:r>
    </w:p>
    <w:p w14:paraId="72B39245" w14:textId="77777777" w:rsidR="008A1247" w:rsidRDefault="008A1247" w:rsidP="008A1247">
      <w:pPr>
        <w:autoSpaceDE w:val="0"/>
        <w:autoSpaceDN w:val="0"/>
        <w:adjustRightInd w:val="0"/>
        <w:spacing w:after="0" w:line="240" w:lineRule="auto"/>
        <w:ind w:left="360"/>
        <w:rPr>
          <w:rFonts w:ascii="Cambria" w:hAnsi="Cambria" w:cs="Cambria"/>
          <w:color w:val="000000"/>
          <w:sz w:val="24"/>
          <w:szCs w:val="24"/>
        </w:rPr>
      </w:pPr>
    </w:p>
    <w:p w14:paraId="1CAC7E45" w14:textId="26F72783" w:rsidR="00EE269D" w:rsidRPr="008A1247" w:rsidRDefault="008A1247" w:rsidP="008A1247">
      <w:pPr>
        <w:autoSpaceDE w:val="0"/>
        <w:autoSpaceDN w:val="0"/>
        <w:adjustRightInd w:val="0"/>
        <w:spacing w:after="0" w:line="240" w:lineRule="auto"/>
        <w:ind w:left="360"/>
        <w:rPr>
          <w:rFonts w:ascii="Cambria" w:hAnsi="Cambria" w:cs="Cambria"/>
          <w:color w:val="000000"/>
          <w:sz w:val="24"/>
          <w:szCs w:val="24"/>
        </w:rPr>
      </w:pPr>
      <w:r w:rsidRPr="008A1247">
        <w:rPr>
          <w:rFonts w:ascii="Cambria" w:hAnsi="Cambria" w:cs="Cambria"/>
          <w:color w:val="000000"/>
          <w:sz w:val="24"/>
          <w:szCs w:val="24"/>
        </w:rPr>
        <w:t xml:space="preserve">MVTX </w:t>
      </w:r>
      <w:r w:rsidR="00EE269D" w:rsidRPr="008A1247">
        <w:rPr>
          <w:rFonts w:ascii="Cambria" w:hAnsi="Cambria" w:cs="Cambria"/>
          <w:color w:val="000000"/>
          <w:sz w:val="24"/>
          <w:szCs w:val="24"/>
        </w:rPr>
        <w:t>Subsystem Managers</w:t>
      </w:r>
    </w:p>
    <w:p w14:paraId="2074EF44" w14:textId="57CDEF15" w:rsidR="00EE269D" w:rsidRPr="008A1247" w:rsidRDefault="00EE269D" w:rsidP="008A1247">
      <w:pPr>
        <w:pStyle w:val="ListParagraph"/>
        <w:numPr>
          <w:ilvl w:val="0"/>
          <w:numId w:val="2"/>
        </w:numPr>
        <w:autoSpaceDE w:val="0"/>
        <w:autoSpaceDN w:val="0"/>
        <w:adjustRightInd w:val="0"/>
        <w:spacing w:after="0" w:line="240" w:lineRule="auto"/>
        <w:rPr>
          <w:rFonts w:ascii="Cambria-Italic" w:hAnsi="Cambria-Italic" w:cs="Cambria-Italic"/>
          <w:iCs/>
          <w:color w:val="000000"/>
          <w:sz w:val="24"/>
          <w:szCs w:val="24"/>
        </w:rPr>
      </w:pPr>
      <w:r w:rsidRPr="008A1247">
        <w:rPr>
          <w:rFonts w:ascii="Cambria-Italic" w:hAnsi="Cambria-Italic" w:cs="Cambria-Italic"/>
          <w:iCs/>
          <w:color w:val="000000"/>
          <w:sz w:val="24"/>
          <w:szCs w:val="24"/>
        </w:rPr>
        <w:t>Report directly to the PM</w:t>
      </w:r>
    </w:p>
    <w:p w14:paraId="410BC125" w14:textId="1F24E6A4" w:rsidR="00EE269D" w:rsidRPr="008A1247" w:rsidRDefault="00EE269D" w:rsidP="008A1247">
      <w:pPr>
        <w:pStyle w:val="ListParagraph"/>
        <w:numPr>
          <w:ilvl w:val="0"/>
          <w:numId w:val="2"/>
        </w:numPr>
        <w:autoSpaceDE w:val="0"/>
        <w:autoSpaceDN w:val="0"/>
        <w:adjustRightInd w:val="0"/>
        <w:spacing w:after="0" w:line="240" w:lineRule="auto"/>
        <w:rPr>
          <w:rFonts w:ascii="Cambria-Italic" w:hAnsi="Cambria-Italic" w:cs="Cambria-Italic"/>
          <w:iCs/>
          <w:color w:val="000000"/>
          <w:sz w:val="24"/>
          <w:szCs w:val="24"/>
        </w:rPr>
      </w:pPr>
      <w:r w:rsidRPr="008A1247">
        <w:rPr>
          <w:rFonts w:ascii="Cambria-Italic" w:hAnsi="Cambria-Italic" w:cs="Cambria-Italic"/>
          <w:iCs/>
          <w:color w:val="000000"/>
          <w:sz w:val="24"/>
          <w:szCs w:val="24"/>
        </w:rPr>
        <w:t>Responsible for the design, fabrication, assembly, and testing of their subsystem</w:t>
      </w:r>
    </w:p>
    <w:p w14:paraId="7AFD802E" w14:textId="77777777" w:rsidR="00EE269D" w:rsidRPr="008A1247" w:rsidRDefault="00EE269D" w:rsidP="008A1247">
      <w:pPr>
        <w:pStyle w:val="ListParagraph"/>
        <w:autoSpaceDE w:val="0"/>
        <w:autoSpaceDN w:val="0"/>
        <w:adjustRightInd w:val="0"/>
        <w:spacing w:after="0" w:line="240" w:lineRule="auto"/>
        <w:rPr>
          <w:rFonts w:ascii="Cambria-Italic" w:hAnsi="Cambria-Italic" w:cs="Cambria-Italic"/>
          <w:iCs/>
          <w:color w:val="000000"/>
          <w:sz w:val="24"/>
          <w:szCs w:val="24"/>
        </w:rPr>
      </w:pPr>
      <w:r w:rsidRPr="008A1247">
        <w:rPr>
          <w:rFonts w:ascii="Cambria-Italic" w:hAnsi="Cambria-Italic" w:cs="Cambria-Italic"/>
          <w:iCs/>
          <w:color w:val="000000"/>
          <w:sz w:val="24"/>
          <w:szCs w:val="24"/>
        </w:rPr>
        <w:t>in accordance with the performance requirements.</w:t>
      </w:r>
    </w:p>
    <w:p w14:paraId="6A2B5972" w14:textId="4F59E42F" w:rsidR="00EE269D" w:rsidRPr="008A1247" w:rsidRDefault="00EE269D" w:rsidP="008A1247">
      <w:pPr>
        <w:pStyle w:val="ListParagraph"/>
        <w:numPr>
          <w:ilvl w:val="0"/>
          <w:numId w:val="2"/>
        </w:numPr>
        <w:autoSpaceDE w:val="0"/>
        <w:autoSpaceDN w:val="0"/>
        <w:adjustRightInd w:val="0"/>
        <w:spacing w:after="0" w:line="240" w:lineRule="auto"/>
        <w:rPr>
          <w:rFonts w:ascii="Cambria-Italic" w:hAnsi="Cambria-Italic" w:cs="Cambria-Italic"/>
          <w:iCs/>
          <w:color w:val="000000"/>
          <w:sz w:val="24"/>
          <w:szCs w:val="24"/>
        </w:rPr>
      </w:pPr>
      <w:r w:rsidRPr="008A1247">
        <w:rPr>
          <w:rFonts w:ascii="Cambria-Italic" w:hAnsi="Cambria-Italic" w:cs="Cambria-Italic"/>
          <w:iCs/>
          <w:color w:val="000000"/>
          <w:sz w:val="24"/>
          <w:szCs w:val="24"/>
        </w:rPr>
        <w:t>Provide a quarterly status reports on both technical progress and schedule.</w:t>
      </w:r>
    </w:p>
    <w:p w14:paraId="1C136A9E" w14:textId="40CB15FD" w:rsidR="00EE269D" w:rsidRDefault="00EE269D" w:rsidP="008A1247">
      <w:pPr>
        <w:pStyle w:val="ListParagraph"/>
        <w:numPr>
          <w:ilvl w:val="0"/>
          <w:numId w:val="2"/>
        </w:numPr>
        <w:autoSpaceDE w:val="0"/>
        <w:autoSpaceDN w:val="0"/>
        <w:adjustRightInd w:val="0"/>
        <w:spacing w:after="0" w:line="240" w:lineRule="auto"/>
        <w:rPr>
          <w:rFonts w:ascii="Cambria-Italic" w:hAnsi="Cambria-Italic" w:cs="Cambria-Italic"/>
          <w:iCs/>
          <w:color w:val="000000"/>
          <w:sz w:val="24"/>
          <w:szCs w:val="24"/>
        </w:rPr>
      </w:pPr>
      <w:r w:rsidRPr="008A1247">
        <w:rPr>
          <w:rFonts w:ascii="Cambria-Italic" w:hAnsi="Cambria-Italic" w:cs="Cambria-Italic"/>
          <w:iCs/>
          <w:color w:val="000000"/>
          <w:sz w:val="24"/>
          <w:szCs w:val="24"/>
        </w:rPr>
        <w:t>Participates in weekly management meetings</w:t>
      </w:r>
    </w:p>
    <w:p w14:paraId="4A175B75" w14:textId="64D7D9D8" w:rsidR="008A1247" w:rsidRDefault="008A1247" w:rsidP="008A1247">
      <w:pPr>
        <w:pStyle w:val="ListParagraph"/>
        <w:autoSpaceDE w:val="0"/>
        <w:autoSpaceDN w:val="0"/>
        <w:adjustRightInd w:val="0"/>
        <w:spacing w:after="0" w:line="240" w:lineRule="auto"/>
        <w:rPr>
          <w:rFonts w:ascii="Cambria-Italic" w:hAnsi="Cambria-Italic" w:cs="Cambria-Italic"/>
          <w:iCs/>
          <w:color w:val="000000"/>
          <w:sz w:val="24"/>
          <w:szCs w:val="24"/>
        </w:rPr>
      </w:pPr>
    </w:p>
    <w:p w14:paraId="47CD262F" w14:textId="77777777" w:rsidR="00C57E0E" w:rsidRPr="008A1247" w:rsidRDefault="00C57E0E" w:rsidP="008A1247">
      <w:pPr>
        <w:pStyle w:val="ListParagraph"/>
        <w:autoSpaceDE w:val="0"/>
        <w:autoSpaceDN w:val="0"/>
        <w:adjustRightInd w:val="0"/>
        <w:spacing w:after="0" w:line="240" w:lineRule="auto"/>
        <w:rPr>
          <w:rFonts w:ascii="Cambria-Italic" w:hAnsi="Cambria-Italic" w:cs="Cambria-Italic"/>
          <w:iCs/>
          <w:color w:val="000000"/>
          <w:sz w:val="24"/>
          <w:szCs w:val="24"/>
        </w:rPr>
      </w:pPr>
    </w:p>
    <w:p w14:paraId="2FEE0112" w14:textId="77777777" w:rsidR="00EE269D" w:rsidRPr="008A1247" w:rsidRDefault="00EE269D" w:rsidP="008A1247">
      <w:pPr>
        <w:autoSpaceDE w:val="0"/>
        <w:autoSpaceDN w:val="0"/>
        <w:adjustRightInd w:val="0"/>
        <w:spacing w:after="0" w:line="240" w:lineRule="auto"/>
        <w:rPr>
          <w:rFonts w:ascii="Cambria-Bold" w:hAnsi="Cambria-Bold" w:cs="Cambria-Bold"/>
          <w:b/>
          <w:bCs/>
          <w:color w:val="000000"/>
          <w:sz w:val="24"/>
          <w:szCs w:val="24"/>
        </w:rPr>
      </w:pPr>
      <w:r w:rsidRPr="008A1247">
        <w:rPr>
          <w:rFonts w:ascii="Cambria-Bold" w:hAnsi="Cambria-Bold" w:cs="Cambria-Bold"/>
          <w:b/>
          <w:bCs/>
          <w:color w:val="000000"/>
          <w:sz w:val="24"/>
          <w:szCs w:val="24"/>
        </w:rPr>
        <w:t>3.3 Participating Institutions</w:t>
      </w:r>
    </w:p>
    <w:p w14:paraId="72BD16E7"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p>
    <w:p w14:paraId="279736CD" w14:textId="0DEA57A0" w:rsidR="00EE269D" w:rsidRDefault="00FE746A" w:rsidP="00EE269D">
      <w:pPr>
        <w:autoSpaceDE w:val="0"/>
        <w:autoSpaceDN w:val="0"/>
        <w:adjustRightInd w:val="0"/>
        <w:spacing w:after="0" w:line="240" w:lineRule="auto"/>
        <w:rPr>
          <w:rFonts w:ascii="Cambria" w:hAnsi="Cambria" w:cs="Cambria"/>
          <w:color w:val="000000"/>
          <w:sz w:val="24"/>
          <w:szCs w:val="24"/>
        </w:rPr>
      </w:pPr>
      <w:r w:rsidRPr="00EE269D">
        <w:rPr>
          <w:rFonts w:ascii="Cambria" w:hAnsi="Cambria" w:cs="Cambria"/>
          <w:noProof/>
          <w:color w:val="000000"/>
          <w:sz w:val="24"/>
          <w:szCs w:val="24"/>
        </w:rPr>
        <w:lastRenderedPageBreak/>
        <w:drawing>
          <wp:inline distT="0" distB="0" distL="0" distR="0" wp14:anchorId="72305C01" wp14:editId="0A287EA9">
            <wp:extent cx="5943600" cy="66065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606540"/>
                    </a:xfrm>
                    <a:prstGeom prst="rect">
                      <a:avLst/>
                    </a:prstGeom>
                    <a:noFill/>
                    <a:ln>
                      <a:noFill/>
                    </a:ln>
                  </pic:spPr>
                </pic:pic>
              </a:graphicData>
            </a:graphic>
          </wp:inline>
        </w:drawing>
      </w:r>
    </w:p>
    <w:p w14:paraId="6F48173F"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p>
    <w:p w14:paraId="24633DC3" w14:textId="243EB670" w:rsidR="00EE269D" w:rsidRDefault="00EE269D" w:rsidP="00EE269D">
      <w:pPr>
        <w:autoSpaceDE w:val="0"/>
        <w:autoSpaceDN w:val="0"/>
        <w:adjustRightInd w:val="0"/>
        <w:spacing w:after="0" w:line="240" w:lineRule="auto"/>
        <w:rPr>
          <w:rFonts w:ascii="Cambria-Bold" w:hAnsi="Cambria-Bold" w:cs="Cambria-Bold"/>
          <w:b/>
          <w:bCs/>
          <w:color w:val="000000"/>
          <w:sz w:val="24"/>
          <w:szCs w:val="24"/>
        </w:rPr>
      </w:pPr>
      <w:r>
        <w:rPr>
          <w:rFonts w:ascii="Cambria-Bold" w:hAnsi="Cambria-Bold" w:cs="Cambria-Bold"/>
          <w:b/>
          <w:bCs/>
          <w:color w:val="000000"/>
          <w:sz w:val="24"/>
          <w:szCs w:val="24"/>
        </w:rPr>
        <w:t>4 PROJECT MANAGEMENT AND OVERSIGHT</w:t>
      </w:r>
    </w:p>
    <w:p w14:paraId="14E9A69B" w14:textId="77777777" w:rsidR="00C57E0E" w:rsidRDefault="00C57E0E" w:rsidP="00EE269D">
      <w:pPr>
        <w:autoSpaceDE w:val="0"/>
        <w:autoSpaceDN w:val="0"/>
        <w:adjustRightInd w:val="0"/>
        <w:spacing w:after="0" w:line="240" w:lineRule="auto"/>
        <w:rPr>
          <w:rFonts w:ascii="Cambria-Bold" w:hAnsi="Cambria-Bold" w:cs="Cambria-Bold"/>
          <w:b/>
          <w:bCs/>
          <w:color w:val="000000"/>
          <w:sz w:val="24"/>
          <w:szCs w:val="24"/>
        </w:rPr>
      </w:pPr>
    </w:p>
    <w:p w14:paraId="0E4528BA" w14:textId="77777777" w:rsidR="00EE269D" w:rsidRDefault="00EE269D" w:rsidP="00EE269D">
      <w:pPr>
        <w:autoSpaceDE w:val="0"/>
        <w:autoSpaceDN w:val="0"/>
        <w:adjustRightInd w:val="0"/>
        <w:spacing w:after="0" w:line="240" w:lineRule="auto"/>
        <w:rPr>
          <w:rFonts w:ascii="Cambria-Bold" w:hAnsi="Cambria-Bold" w:cs="Cambria-Bold"/>
          <w:b/>
          <w:bCs/>
          <w:color w:val="000000"/>
          <w:sz w:val="24"/>
          <w:szCs w:val="24"/>
        </w:rPr>
      </w:pPr>
      <w:r>
        <w:rPr>
          <w:rFonts w:ascii="Cambria-Bold" w:hAnsi="Cambria-Bold" w:cs="Cambria-Bold"/>
          <w:b/>
          <w:bCs/>
          <w:color w:val="000000"/>
          <w:sz w:val="24"/>
          <w:szCs w:val="24"/>
        </w:rPr>
        <w:t>4.1 Risk Management</w:t>
      </w:r>
    </w:p>
    <w:p w14:paraId="0E38149B"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Risk management is based on a graded approach in which levels of risk are assessed</w:t>
      </w:r>
    </w:p>
    <w:p w14:paraId="187B3828"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for project activities and elements. Assessments of technical, cost and schedule</w:t>
      </w:r>
    </w:p>
    <w:p w14:paraId="4A2612B3" w14:textId="59DA6B4E"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risks are conducted throughout the project lifecycle.</w:t>
      </w:r>
      <w:r w:rsidR="0031206A">
        <w:rPr>
          <w:rFonts w:ascii="Cambria" w:hAnsi="Cambria" w:cs="Cambria"/>
          <w:color w:val="000000"/>
          <w:sz w:val="24"/>
          <w:szCs w:val="24"/>
        </w:rPr>
        <w:t xml:space="preserve"> </w:t>
      </w:r>
    </w:p>
    <w:p w14:paraId="2B538174" w14:textId="77777777" w:rsidR="0031206A" w:rsidRDefault="0031206A" w:rsidP="00EE269D">
      <w:pPr>
        <w:autoSpaceDE w:val="0"/>
        <w:autoSpaceDN w:val="0"/>
        <w:adjustRightInd w:val="0"/>
        <w:spacing w:after="0" w:line="240" w:lineRule="auto"/>
        <w:rPr>
          <w:rFonts w:ascii="Cambria" w:hAnsi="Cambria" w:cs="Cambria"/>
          <w:color w:val="000000"/>
          <w:sz w:val="24"/>
          <w:szCs w:val="24"/>
        </w:rPr>
      </w:pPr>
    </w:p>
    <w:p w14:paraId="31A83166" w14:textId="042FA26C"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 xml:space="preserve">The </w:t>
      </w:r>
      <w:r w:rsidR="008A1247">
        <w:rPr>
          <w:rFonts w:ascii="Cambria" w:hAnsi="Cambria" w:cs="Cambria"/>
          <w:color w:val="000000"/>
          <w:sz w:val="24"/>
          <w:szCs w:val="24"/>
        </w:rPr>
        <w:t>MVTX</w:t>
      </w:r>
      <w:r>
        <w:rPr>
          <w:rFonts w:ascii="Cambria" w:hAnsi="Cambria" w:cs="Cambria"/>
          <w:color w:val="000000"/>
          <w:sz w:val="24"/>
          <w:szCs w:val="24"/>
        </w:rPr>
        <w:t xml:space="preserve"> risk management approach consists of a five-step process:</w:t>
      </w:r>
    </w:p>
    <w:p w14:paraId="1C7BDDC3" w14:textId="3D9A0B1E"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lastRenderedPageBreak/>
        <w:t xml:space="preserve">1. </w:t>
      </w:r>
      <w:r w:rsidR="0031206A">
        <w:rPr>
          <w:rFonts w:ascii="Cambria" w:hAnsi="Cambria" w:cs="Cambria"/>
          <w:color w:val="000000"/>
          <w:sz w:val="24"/>
          <w:szCs w:val="24"/>
        </w:rPr>
        <w:tab/>
      </w:r>
      <w:r>
        <w:rPr>
          <w:rFonts w:ascii="Cambria" w:hAnsi="Cambria" w:cs="Cambria"/>
          <w:color w:val="000000"/>
          <w:sz w:val="24"/>
          <w:szCs w:val="24"/>
        </w:rPr>
        <w:t xml:space="preserve">Identifying potential project risk – any member of </w:t>
      </w:r>
      <w:r w:rsidR="008A1247">
        <w:rPr>
          <w:rFonts w:ascii="Cambria" w:hAnsi="Cambria" w:cs="Cambria"/>
          <w:color w:val="000000"/>
          <w:sz w:val="24"/>
          <w:szCs w:val="24"/>
        </w:rPr>
        <w:t xml:space="preserve">MVTX </w:t>
      </w:r>
      <w:r>
        <w:rPr>
          <w:rFonts w:ascii="Cambria" w:hAnsi="Cambria" w:cs="Cambria"/>
          <w:color w:val="000000"/>
          <w:sz w:val="24"/>
          <w:szCs w:val="24"/>
        </w:rPr>
        <w:t>team may identify a</w:t>
      </w:r>
    </w:p>
    <w:p w14:paraId="56F75529" w14:textId="77777777" w:rsidR="00EE269D" w:rsidRDefault="00EE269D" w:rsidP="0031206A">
      <w:pPr>
        <w:autoSpaceDE w:val="0"/>
        <w:autoSpaceDN w:val="0"/>
        <w:adjustRightInd w:val="0"/>
        <w:spacing w:after="0" w:line="240" w:lineRule="auto"/>
        <w:ind w:firstLine="720"/>
        <w:rPr>
          <w:rFonts w:ascii="Cambria" w:hAnsi="Cambria" w:cs="Cambria"/>
          <w:color w:val="000000"/>
          <w:sz w:val="24"/>
          <w:szCs w:val="24"/>
        </w:rPr>
      </w:pPr>
      <w:r>
        <w:rPr>
          <w:rFonts w:ascii="Cambria" w:hAnsi="Cambria" w:cs="Cambria"/>
          <w:color w:val="000000"/>
          <w:sz w:val="24"/>
          <w:szCs w:val="24"/>
        </w:rPr>
        <w:t>potential risk. The subproject (WBS level 2) managers are responsible for</w:t>
      </w:r>
    </w:p>
    <w:p w14:paraId="698ADF22" w14:textId="77777777" w:rsidR="00EE269D" w:rsidRDefault="00EE269D" w:rsidP="0031206A">
      <w:pPr>
        <w:autoSpaceDE w:val="0"/>
        <w:autoSpaceDN w:val="0"/>
        <w:adjustRightInd w:val="0"/>
        <w:spacing w:after="0" w:line="240" w:lineRule="auto"/>
        <w:ind w:firstLine="720"/>
        <w:rPr>
          <w:rFonts w:ascii="Cambria" w:hAnsi="Cambria" w:cs="Cambria"/>
          <w:color w:val="000000"/>
          <w:sz w:val="24"/>
          <w:szCs w:val="24"/>
        </w:rPr>
      </w:pPr>
      <w:r>
        <w:rPr>
          <w:rFonts w:ascii="Cambria" w:hAnsi="Cambria" w:cs="Cambria"/>
          <w:color w:val="000000"/>
          <w:sz w:val="24"/>
          <w:szCs w:val="24"/>
        </w:rPr>
        <w:t>addressing the potential risks with the DPM or PM’s concurrence.</w:t>
      </w:r>
    </w:p>
    <w:p w14:paraId="0F9F0202" w14:textId="59A95EC8"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 xml:space="preserve">2. </w:t>
      </w:r>
      <w:r w:rsidR="0031206A">
        <w:rPr>
          <w:rFonts w:ascii="Cambria" w:hAnsi="Cambria" w:cs="Cambria"/>
          <w:color w:val="000000"/>
          <w:sz w:val="24"/>
          <w:szCs w:val="24"/>
        </w:rPr>
        <w:tab/>
      </w:r>
      <w:r>
        <w:rPr>
          <w:rFonts w:ascii="Cambria" w:hAnsi="Cambria" w:cs="Cambria"/>
          <w:color w:val="000000"/>
          <w:sz w:val="24"/>
          <w:szCs w:val="24"/>
        </w:rPr>
        <w:t>Analyzing project risk - the probability of a project risk occurring will be</w:t>
      </w:r>
    </w:p>
    <w:p w14:paraId="621CB45B" w14:textId="77777777" w:rsidR="00EE269D" w:rsidRDefault="00EE269D" w:rsidP="0031206A">
      <w:pPr>
        <w:autoSpaceDE w:val="0"/>
        <w:autoSpaceDN w:val="0"/>
        <w:adjustRightInd w:val="0"/>
        <w:spacing w:after="0" w:line="240" w:lineRule="auto"/>
        <w:ind w:firstLine="720"/>
        <w:rPr>
          <w:rFonts w:ascii="Cambria" w:hAnsi="Cambria" w:cs="Cambria"/>
          <w:color w:val="000000"/>
          <w:sz w:val="24"/>
          <w:szCs w:val="24"/>
        </w:rPr>
      </w:pPr>
      <w:r>
        <w:rPr>
          <w:rFonts w:ascii="Cambria" w:hAnsi="Cambria" w:cs="Cambria"/>
          <w:color w:val="000000"/>
          <w:sz w:val="24"/>
          <w:szCs w:val="24"/>
        </w:rPr>
        <w:t>evaluated together with the potential impact to the project’s technical</w:t>
      </w:r>
    </w:p>
    <w:p w14:paraId="023FF8A7" w14:textId="77777777" w:rsidR="00EE269D" w:rsidRDefault="00EE269D" w:rsidP="0031206A">
      <w:pPr>
        <w:autoSpaceDE w:val="0"/>
        <w:autoSpaceDN w:val="0"/>
        <w:adjustRightInd w:val="0"/>
        <w:spacing w:after="0" w:line="240" w:lineRule="auto"/>
        <w:ind w:firstLine="720"/>
        <w:rPr>
          <w:rFonts w:ascii="Cambria" w:hAnsi="Cambria" w:cs="Cambria"/>
          <w:color w:val="000000"/>
          <w:sz w:val="24"/>
          <w:szCs w:val="24"/>
        </w:rPr>
      </w:pPr>
      <w:r>
        <w:rPr>
          <w:rFonts w:ascii="Cambria" w:hAnsi="Cambria" w:cs="Cambria"/>
          <w:color w:val="000000"/>
          <w:sz w:val="24"/>
          <w:szCs w:val="24"/>
        </w:rPr>
        <w:t>performance, cost and/or schedule baseline. Probability is assessed qualitatively</w:t>
      </w:r>
    </w:p>
    <w:p w14:paraId="6B32E03A" w14:textId="77777777" w:rsidR="00EE269D" w:rsidRDefault="00EE269D" w:rsidP="0031206A">
      <w:pPr>
        <w:autoSpaceDE w:val="0"/>
        <w:autoSpaceDN w:val="0"/>
        <w:adjustRightInd w:val="0"/>
        <w:spacing w:after="0" w:line="240" w:lineRule="auto"/>
        <w:ind w:firstLine="720"/>
        <w:rPr>
          <w:rFonts w:ascii="Cambria" w:hAnsi="Cambria" w:cs="Cambria"/>
          <w:color w:val="000000"/>
          <w:sz w:val="24"/>
          <w:szCs w:val="24"/>
        </w:rPr>
      </w:pPr>
      <w:r>
        <w:rPr>
          <w:rFonts w:ascii="Cambria" w:hAnsi="Cambria" w:cs="Cambria"/>
          <w:color w:val="000000"/>
          <w:sz w:val="24"/>
          <w:szCs w:val="24"/>
        </w:rPr>
        <w:t>(Low, Moderate, and High).</w:t>
      </w:r>
    </w:p>
    <w:p w14:paraId="19D10ECE" w14:textId="51A5F32D"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 xml:space="preserve">3. </w:t>
      </w:r>
      <w:r w:rsidR="0031206A">
        <w:rPr>
          <w:rFonts w:ascii="Cambria" w:hAnsi="Cambria" w:cs="Cambria"/>
          <w:color w:val="000000"/>
          <w:sz w:val="24"/>
          <w:szCs w:val="24"/>
        </w:rPr>
        <w:tab/>
      </w:r>
      <w:r>
        <w:rPr>
          <w:rFonts w:ascii="Cambria" w:hAnsi="Cambria" w:cs="Cambria"/>
          <w:color w:val="000000"/>
          <w:sz w:val="24"/>
          <w:szCs w:val="24"/>
        </w:rPr>
        <w:t>Planning for and developing risk abatement strategies.</w:t>
      </w:r>
    </w:p>
    <w:p w14:paraId="0431B773" w14:textId="666EDAFD"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 xml:space="preserve">4. </w:t>
      </w:r>
      <w:r w:rsidR="0031206A">
        <w:rPr>
          <w:rFonts w:ascii="Cambria" w:hAnsi="Cambria" w:cs="Cambria"/>
          <w:color w:val="000000"/>
          <w:sz w:val="24"/>
          <w:szCs w:val="24"/>
        </w:rPr>
        <w:tab/>
      </w:r>
      <w:r>
        <w:rPr>
          <w:rFonts w:ascii="Cambria" w:hAnsi="Cambria" w:cs="Cambria"/>
          <w:color w:val="000000"/>
          <w:sz w:val="24"/>
          <w:szCs w:val="24"/>
        </w:rPr>
        <w:t>Executing risk abatement strategies - abatement strategies differ according</w:t>
      </w:r>
    </w:p>
    <w:p w14:paraId="02577C9D" w14:textId="77777777" w:rsidR="00EE269D" w:rsidRDefault="00EE269D" w:rsidP="0031206A">
      <w:pPr>
        <w:autoSpaceDE w:val="0"/>
        <w:autoSpaceDN w:val="0"/>
        <w:adjustRightInd w:val="0"/>
        <w:spacing w:after="0" w:line="240" w:lineRule="auto"/>
        <w:ind w:firstLine="720"/>
        <w:rPr>
          <w:rFonts w:ascii="Cambria" w:hAnsi="Cambria" w:cs="Cambria"/>
          <w:color w:val="000000"/>
          <w:sz w:val="24"/>
          <w:szCs w:val="24"/>
        </w:rPr>
      </w:pPr>
      <w:r>
        <w:rPr>
          <w:rFonts w:ascii="Cambria" w:hAnsi="Cambria" w:cs="Cambria"/>
          <w:color w:val="000000"/>
          <w:sz w:val="24"/>
          <w:szCs w:val="24"/>
        </w:rPr>
        <w:t>to the potential risk and its timing. Monitoring and tracking the results and</w:t>
      </w:r>
    </w:p>
    <w:p w14:paraId="71545199" w14:textId="77777777" w:rsidR="00EE269D" w:rsidRDefault="00EE269D" w:rsidP="0031206A">
      <w:pPr>
        <w:autoSpaceDE w:val="0"/>
        <w:autoSpaceDN w:val="0"/>
        <w:adjustRightInd w:val="0"/>
        <w:spacing w:after="0" w:line="240" w:lineRule="auto"/>
        <w:ind w:firstLine="720"/>
        <w:rPr>
          <w:rFonts w:ascii="Cambria" w:hAnsi="Cambria" w:cs="Cambria"/>
          <w:color w:val="000000"/>
          <w:sz w:val="24"/>
          <w:szCs w:val="24"/>
        </w:rPr>
      </w:pPr>
      <w:r>
        <w:rPr>
          <w:rFonts w:ascii="Cambria" w:hAnsi="Cambria" w:cs="Cambria"/>
          <w:color w:val="000000"/>
          <w:sz w:val="24"/>
          <w:szCs w:val="24"/>
        </w:rPr>
        <w:t>revising risk abatement strategies - risk assignments are associated to specific</w:t>
      </w:r>
    </w:p>
    <w:p w14:paraId="4ACB4E20" w14:textId="77777777" w:rsidR="00EE269D" w:rsidRDefault="00EE269D" w:rsidP="0031206A">
      <w:pPr>
        <w:autoSpaceDE w:val="0"/>
        <w:autoSpaceDN w:val="0"/>
        <w:adjustRightInd w:val="0"/>
        <w:spacing w:after="0" w:line="240" w:lineRule="auto"/>
        <w:ind w:firstLine="720"/>
        <w:rPr>
          <w:rFonts w:ascii="Cambria" w:hAnsi="Cambria" w:cs="Cambria"/>
          <w:color w:val="000000"/>
          <w:sz w:val="24"/>
          <w:szCs w:val="24"/>
        </w:rPr>
      </w:pPr>
      <w:r>
        <w:rPr>
          <w:rFonts w:ascii="Cambria" w:hAnsi="Cambria" w:cs="Cambria"/>
          <w:color w:val="000000"/>
          <w:sz w:val="24"/>
          <w:szCs w:val="24"/>
        </w:rPr>
        <w:t>WBS entries down to Level 3. This serves to emphasize the role of the Level 2</w:t>
      </w:r>
    </w:p>
    <w:p w14:paraId="7480EF9F" w14:textId="77777777" w:rsidR="00EE269D" w:rsidRDefault="00EE269D" w:rsidP="0031206A">
      <w:pPr>
        <w:autoSpaceDE w:val="0"/>
        <w:autoSpaceDN w:val="0"/>
        <w:adjustRightInd w:val="0"/>
        <w:spacing w:after="0" w:line="240" w:lineRule="auto"/>
        <w:ind w:firstLine="720"/>
        <w:rPr>
          <w:rFonts w:ascii="Cambria" w:hAnsi="Cambria" w:cs="Cambria"/>
          <w:color w:val="000000"/>
          <w:sz w:val="24"/>
          <w:szCs w:val="24"/>
        </w:rPr>
      </w:pPr>
      <w:r>
        <w:rPr>
          <w:rFonts w:ascii="Cambria" w:hAnsi="Cambria" w:cs="Cambria"/>
          <w:color w:val="000000"/>
          <w:sz w:val="24"/>
          <w:szCs w:val="24"/>
        </w:rPr>
        <w:t>WBS manager in risk management. Risk information, including the probability</w:t>
      </w:r>
    </w:p>
    <w:p w14:paraId="1175AA57" w14:textId="77777777" w:rsidR="00EE269D" w:rsidRDefault="00EE269D" w:rsidP="0031206A">
      <w:pPr>
        <w:autoSpaceDE w:val="0"/>
        <w:autoSpaceDN w:val="0"/>
        <w:adjustRightInd w:val="0"/>
        <w:spacing w:after="0" w:line="240" w:lineRule="auto"/>
        <w:ind w:firstLine="720"/>
        <w:rPr>
          <w:rFonts w:ascii="Cambria" w:hAnsi="Cambria" w:cs="Cambria"/>
          <w:color w:val="000000"/>
          <w:sz w:val="24"/>
          <w:szCs w:val="24"/>
        </w:rPr>
      </w:pPr>
      <w:r>
        <w:rPr>
          <w:rFonts w:ascii="Cambria" w:hAnsi="Cambria" w:cs="Cambria"/>
          <w:color w:val="000000"/>
          <w:sz w:val="24"/>
          <w:szCs w:val="24"/>
        </w:rPr>
        <w:t>and impact assessments and brief summaries of mitigation strategies, are stored</w:t>
      </w:r>
    </w:p>
    <w:p w14:paraId="6A147D95" w14:textId="3AEE345F" w:rsidR="00EE269D" w:rsidRDefault="00EE269D" w:rsidP="0031206A">
      <w:pPr>
        <w:autoSpaceDE w:val="0"/>
        <w:autoSpaceDN w:val="0"/>
        <w:adjustRightInd w:val="0"/>
        <w:spacing w:after="0" w:line="240" w:lineRule="auto"/>
        <w:ind w:firstLine="720"/>
        <w:rPr>
          <w:rFonts w:ascii="Cambria" w:hAnsi="Cambria" w:cs="Cambria"/>
          <w:color w:val="000000"/>
          <w:sz w:val="24"/>
          <w:szCs w:val="24"/>
        </w:rPr>
      </w:pPr>
      <w:r>
        <w:rPr>
          <w:rFonts w:ascii="Cambria" w:hAnsi="Cambria" w:cs="Cambria"/>
          <w:color w:val="000000"/>
          <w:sz w:val="24"/>
          <w:szCs w:val="24"/>
        </w:rPr>
        <w:t xml:space="preserve">in the </w:t>
      </w:r>
      <w:r w:rsidR="008A1247">
        <w:rPr>
          <w:rFonts w:ascii="Cambria" w:hAnsi="Cambria" w:cs="Cambria"/>
          <w:color w:val="000000"/>
          <w:sz w:val="24"/>
          <w:szCs w:val="24"/>
        </w:rPr>
        <w:t>MVTX</w:t>
      </w:r>
      <w:r>
        <w:rPr>
          <w:rFonts w:ascii="Cambria" w:hAnsi="Cambria" w:cs="Cambria"/>
          <w:color w:val="000000"/>
          <w:sz w:val="24"/>
          <w:szCs w:val="24"/>
        </w:rPr>
        <w:t xml:space="preserve"> risk registry.</w:t>
      </w:r>
    </w:p>
    <w:p w14:paraId="2F229CE3" w14:textId="77777777" w:rsidR="00EE269D" w:rsidRDefault="00EE269D" w:rsidP="0031206A">
      <w:pPr>
        <w:autoSpaceDE w:val="0"/>
        <w:autoSpaceDN w:val="0"/>
        <w:adjustRightInd w:val="0"/>
        <w:spacing w:after="0" w:line="240" w:lineRule="auto"/>
        <w:ind w:firstLine="720"/>
        <w:rPr>
          <w:rFonts w:ascii="Cambria" w:hAnsi="Cambria" w:cs="Cambria"/>
          <w:color w:val="000000"/>
          <w:sz w:val="24"/>
          <w:szCs w:val="24"/>
        </w:rPr>
      </w:pPr>
      <w:r>
        <w:rPr>
          <w:rFonts w:ascii="Cambria" w:hAnsi="Cambria" w:cs="Cambria"/>
          <w:color w:val="000000"/>
          <w:sz w:val="24"/>
          <w:szCs w:val="24"/>
        </w:rPr>
        <w:t>The risk management Plan can be found in Appendix C. The most important risks</w:t>
      </w:r>
    </w:p>
    <w:p w14:paraId="5DE98F8C" w14:textId="48C3ADC1" w:rsidR="00EE269D" w:rsidRDefault="00EE269D" w:rsidP="0031206A">
      <w:pPr>
        <w:autoSpaceDE w:val="0"/>
        <w:autoSpaceDN w:val="0"/>
        <w:adjustRightInd w:val="0"/>
        <w:spacing w:after="0" w:line="240" w:lineRule="auto"/>
        <w:ind w:firstLine="720"/>
        <w:rPr>
          <w:rFonts w:ascii="Cambria" w:hAnsi="Cambria" w:cs="Cambria"/>
          <w:color w:val="000000"/>
          <w:sz w:val="24"/>
          <w:szCs w:val="24"/>
        </w:rPr>
      </w:pPr>
      <w:r>
        <w:rPr>
          <w:rFonts w:ascii="Cambria" w:hAnsi="Cambria" w:cs="Cambria"/>
          <w:color w:val="000000"/>
          <w:sz w:val="24"/>
          <w:szCs w:val="24"/>
        </w:rPr>
        <w:t xml:space="preserve">for the </w:t>
      </w:r>
      <w:r w:rsidR="008A1247">
        <w:rPr>
          <w:rFonts w:ascii="Cambria" w:hAnsi="Cambria" w:cs="Cambria"/>
          <w:color w:val="000000"/>
          <w:sz w:val="24"/>
          <w:szCs w:val="24"/>
        </w:rPr>
        <w:t>MVTX</w:t>
      </w:r>
      <w:r>
        <w:rPr>
          <w:rFonts w:ascii="Cambria" w:hAnsi="Cambria" w:cs="Cambria"/>
          <w:color w:val="000000"/>
          <w:sz w:val="24"/>
          <w:szCs w:val="24"/>
        </w:rPr>
        <w:t xml:space="preserve"> project </w:t>
      </w:r>
      <w:r w:rsidR="008A1247">
        <w:rPr>
          <w:rFonts w:ascii="Cambria" w:hAnsi="Cambria" w:cs="Cambria"/>
          <w:color w:val="000000"/>
          <w:sz w:val="24"/>
          <w:szCs w:val="24"/>
        </w:rPr>
        <w:t xml:space="preserve">are </w:t>
      </w:r>
      <w:r>
        <w:rPr>
          <w:rFonts w:ascii="Cambria" w:hAnsi="Cambria" w:cs="Cambria"/>
          <w:color w:val="000000"/>
          <w:sz w:val="24"/>
          <w:szCs w:val="24"/>
        </w:rPr>
        <w:t>documented in the report</w:t>
      </w:r>
      <w:r>
        <w:rPr>
          <w:rFonts w:ascii="Cambria" w:hAnsi="Cambria" w:cs="Cambria"/>
          <w:color w:val="000000"/>
          <w:sz w:val="16"/>
          <w:szCs w:val="16"/>
        </w:rPr>
        <w:t xml:space="preserve"> </w:t>
      </w:r>
      <w:r>
        <w:rPr>
          <w:rFonts w:ascii="Cambria" w:hAnsi="Cambria" w:cs="Cambria"/>
          <w:color w:val="000000"/>
          <w:sz w:val="24"/>
          <w:szCs w:val="24"/>
        </w:rPr>
        <w:t>on “Risk assessment</w:t>
      </w:r>
      <w:r w:rsidR="008A1247">
        <w:rPr>
          <w:rFonts w:ascii="Cambria" w:hAnsi="Cambria" w:cs="Cambria"/>
          <w:color w:val="000000"/>
          <w:sz w:val="24"/>
          <w:szCs w:val="24"/>
        </w:rPr>
        <w:t xml:space="preserve"> of</w:t>
      </w:r>
    </w:p>
    <w:p w14:paraId="5AC0AE76" w14:textId="59F19CBA" w:rsidR="00EE269D" w:rsidRDefault="00EE269D" w:rsidP="0031206A">
      <w:pPr>
        <w:autoSpaceDE w:val="0"/>
        <w:autoSpaceDN w:val="0"/>
        <w:adjustRightInd w:val="0"/>
        <w:spacing w:after="0" w:line="240" w:lineRule="auto"/>
        <w:ind w:firstLine="720"/>
        <w:rPr>
          <w:rFonts w:ascii="Cambria" w:hAnsi="Cambria" w:cs="Cambria"/>
          <w:color w:val="000000"/>
          <w:sz w:val="24"/>
          <w:szCs w:val="24"/>
        </w:rPr>
      </w:pPr>
      <w:r>
        <w:rPr>
          <w:rFonts w:ascii="Cambria" w:hAnsi="Cambria" w:cs="Cambria"/>
          <w:color w:val="000000"/>
          <w:sz w:val="24"/>
          <w:szCs w:val="24"/>
        </w:rPr>
        <w:t xml:space="preserve">the </w:t>
      </w:r>
      <w:r w:rsidR="008A1247">
        <w:rPr>
          <w:rFonts w:ascii="Cambria" w:hAnsi="Cambria" w:cs="Cambria"/>
          <w:color w:val="000000"/>
          <w:sz w:val="24"/>
          <w:szCs w:val="24"/>
        </w:rPr>
        <w:t>MVTX</w:t>
      </w:r>
      <w:r>
        <w:rPr>
          <w:rFonts w:ascii="Cambria" w:hAnsi="Cambria" w:cs="Cambria"/>
          <w:color w:val="000000"/>
          <w:sz w:val="24"/>
          <w:szCs w:val="24"/>
        </w:rPr>
        <w:t xml:space="preserve"> upgrade”</w:t>
      </w:r>
      <w:r w:rsidR="008A1247">
        <w:rPr>
          <w:rFonts w:ascii="Cambria" w:hAnsi="Cambria" w:cs="Cambria"/>
          <w:color w:val="000000"/>
          <w:sz w:val="24"/>
          <w:szCs w:val="24"/>
        </w:rPr>
        <w:t>.</w:t>
      </w:r>
    </w:p>
    <w:p w14:paraId="110E43B4" w14:textId="77777777" w:rsidR="00C57E0E" w:rsidRDefault="00C57E0E" w:rsidP="00EE269D">
      <w:pPr>
        <w:autoSpaceDE w:val="0"/>
        <w:autoSpaceDN w:val="0"/>
        <w:adjustRightInd w:val="0"/>
        <w:spacing w:after="0" w:line="240" w:lineRule="auto"/>
        <w:rPr>
          <w:rFonts w:ascii="Cambria-Bold" w:hAnsi="Cambria-Bold" w:cs="Cambria-Bold"/>
          <w:b/>
          <w:bCs/>
          <w:color w:val="000000"/>
          <w:sz w:val="24"/>
          <w:szCs w:val="24"/>
        </w:rPr>
      </w:pPr>
    </w:p>
    <w:p w14:paraId="2CF1CD52" w14:textId="62A93976" w:rsidR="00EE269D" w:rsidRDefault="00EE269D" w:rsidP="00EE269D">
      <w:pPr>
        <w:autoSpaceDE w:val="0"/>
        <w:autoSpaceDN w:val="0"/>
        <w:adjustRightInd w:val="0"/>
        <w:spacing w:after="0" w:line="240" w:lineRule="auto"/>
        <w:rPr>
          <w:rFonts w:ascii="Cambria-Bold" w:hAnsi="Cambria-Bold" w:cs="Cambria-Bold"/>
          <w:b/>
          <w:bCs/>
          <w:color w:val="000000"/>
          <w:sz w:val="24"/>
          <w:szCs w:val="24"/>
        </w:rPr>
      </w:pPr>
      <w:r>
        <w:rPr>
          <w:rFonts w:ascii="Cambria-Bold" w:hAnsi="Cambria-Bold" w:cs="Cambria-Bold"/>
          <w:b/>
          <w:bCs/>
          <w:color w:val="000000"/>
          <w:sz w:val="24"/>
          <w:szCs w:val="24"/>
        </w:rPr>
        <w:t>4.2 Project reporting</w:t>
      </w:r>
    </w:p>
    <w:p w14:paraId="706B5DFD" w14:textId="77777777" w:rsidR="00C57E0E" w:rsidRDefault="00C57E0E" w:rsidP="00EE269D">
      <w:pPr>
        <w:autoSpaceDE w:val="0"/>
        <w:autoSpaceDN w:val="0"/>
        <w:adjustRightInd w:val="0"/>
        <w:spacing w:after="0" w:line="240" w:lineRule="auto"/>
        <w:rPr>
          <w:rFonts w:ascii="Cambria" w:hAnsi="Cambria" w:cs="Cambria"/>
          <w:color w:val="000000"/>
          <w:sz w:val="24"/>
          <w:szCs w:val="24"/>
        </w:rPr>
      </w:pPr>
    </w:p>
    <w:p w14:paraId="535E7E35" w14:textId="782CF978"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The PM will lead quarterly cost and schedule reviews and report the results to the</w:t>
      </w:r>
    </w:p>
    <w:p w14:paraId="3B244533" w14:textId="45D40D5A" w:rsidR="00EE269D" w:rsidRDefault="008A1247" w:rsidP="008A1247">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sPHENIX Project Office</w:t>
      </w:r>
      <w:r w:rsidR="00EE269D">
        <w:rPr>
          <w:rFonts w:ascii="Cambria" w:hAnsi="Cambria" w:cs="Cambria"/>
          <w:color w:val="000000"/>
          <w:sz w:val="24"/>
          <w:szCs w:val="24"/>
        </w:rPr>
        <w:t xml:space="preserve">. </w:t>
      </w:r>
    </w:p>
    <w:p w14:paraId="73110FAE" w14:textId="77777777" w:rsidR="0031206A" w:rsidRDefault="0031206A" w:rsidP="008A1247">
      <w:pPr>
        <w:autoSpaceDE w:val="0"/>
        <w:autoSpaceDN w:val="0"/>
        <w:adjustRightInd w:val="0"/>
        <w:spacing w:after="0" w:line="240" w:lineRule="auto"/>
        <w:rPr>
          <w:rFonts w:ascii="Cambria" w:hAnsi="Cambria" w:cs="Cambria"/>
          <w:color w:val="000000"/>
          <w:sz w:val="24"/>
          <w:szCs w:val="24"/>
        </w:rPr>
      </w:pPr>
    </w:p>
    <w:p w14:paraId="797F7FEE"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The standard BNL accounting system is the basis for collecting cost data, and the</w:t>
      </w:r>
    </w:p>
    <w:p w14:paraId="2B5BB577" w14:textId="1A51307C"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Control Account structure for the</w:t>
      </w:r>
      <w:r w:rsidR="008A1247">
        <w:rPr>
          <w:rFonts w:ascii="Cambria" w:hAnsi="Cambria" w:cs="Cambria"/>
          <w:color w:val="000000"/>
          <w:sz w:val="24"/>
          <w:szCs w:val="24"/>
        </w:rPr>
        <w:t xml:space="preserve"> MVTX</w:t>
      </w:r>
      <w:r>
        <w:rPr>
          <w:rFonts w:ascii="Cambria" w:hAnsi="Cambria" w:cs="Cambria"/>
          <w:color w:val="000000"/>
          <w:sz w:val="24"/>
          <w:szCs w:val="24"/>
        </w:rPr>
        <w:t xml:space="preserve"> will separate costs according to the WBS</w:t>
      </w:r>
    </w:p>
    <w:p w14:paraId="784D4E33"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elements. A direct one-to-one relationship will be established between each WBS</w:t>
      </w:r>
    </w:p>
    <w:p w14:paraId="48BDEEAA"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element of Level 2 or lower with a separate control account in the BNL accounting</w:t>
      </w:r>
    </w:p>
    <w:p w14:paraId="3979DE94" w14:textId="70938C2E"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system.</w:t>
      </w:r>
    </w:p>
    <w:p w14:paraId="6775B838" w14:textId="77777777" w:rsidR="0031206A" w:rsidRDefault="0031206A" w:rsidP="00EE269D">
      <w:pPr>
        <w:autoSpaceDE w:val="0"/>
        <w:autoSpaceDN w:val="0"/>
        <w:adjustRightInd w:val="0"/>
        <w:spacing w:after="0" w:line="240" w:lineRule="auto"/>
        <w:rPr>
          <w:rFonts w:ascii="Cambria" w:hAnsi="Cambria" w:cs="Cambria"/>
          <w:color w:val="000000"/>
          <w:sz w:val="24"/>
          <w:szCs w:val="24"/>
        </w:rPr>
      </w:pPr>
    </w:p>
    <w:p w14:paraId="135CA00C"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Technical performance will be monitored throughout the project to ensure</w:t>
      </w:r>
    </w:p>
    <w:p w14:paraId="63749C63"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conformance to approved functional requirements. Design reviews and</w:t>
      </w:r>
    </w:p>
    <w:p w14:paraId="0BA06C5E"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performance tests of the completed systems will be used to ensure that the</w:t>
      </w:r>
    </w:p>
    <w:p w14:paraId="246A02EE"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equipment meets the functional requirements.</w:t>
      </w:r>
    </w:p>
    <w:p w14:paraId="469DB83D" w14:textId="77777777" w:rsidR="00C57E0E" w:rsidRDefault="00C57E0E" w:rsidP="00EE269D">
      <w:pPr>
        <w:autoSpaceDE w:val="0"/>
        <w:autoSpaceDN w:val="0"/>
        <w:adjustRightInd w:val="0"/>
        <w:spacing w:after="0" w:line="240" w:lineRule="auto"/>
        <w:rPr>
          <w:rFonts w:ascii="Cambria-Bold" w:hAnsi="Cambria-Bold" w:cs="Cambria-Bold"/>
          <w:b/>
          <w:bCs/>
          <w:color w:val="000000"/>
          <w:sz w:val="24"/>
          <w:szCs w:val="24"/>
        </w:rPr>
      </w:pPr>
    </w:p>
    <w:p w14:paraId="11FF2175" w14:textId="6B481014" w:rsidR="00EE269D" w:rsidRDefault="00EE269D" w:rsidP="00EE269D">
      <w:pPr>
        <w:autoSpaceDE w:val="0"/>
        <w:autoSpaceDN w:val="0"/>
        <w:adjustRightInd w:val="0"/>
        <w:spacing w:after="0" w:line="240" w:lineRule="auto"/>
        <w:rPr>
          <w:rFonts w:ascii="Cambria-Bold" w:hAnsi="Cambria-Bold" w:cs="Cambria-Bold"/>
          <w:b/>
          <w:bCs/>
          <w:color w:val="000000"/>
          <w:sz w:val="24"/>
          <w:szCs w:val="24"/>
        </w:rPr>
      </w:pPr>
      <w:r>
        <w:rPr>
          <w:rFonts w:ascii="Cambria-Bold" w:hAnsi="Cambria-Bold" w:cs="Cambria-Bold"/>
          <w:b/>
          <w:bCs/>
          <w:color w:val="000000"/>
          <w:sz w:val="24"/>
          <w:szCs w:val="24"/>
        </w:rPr>
        <w:t>4.3 Engineering and Technology Readiness</w:t>
      </w:r>
    </w:p>
    <w:p w14:paraId="2D2B7B7B" w14:textId="77777777" w:rsidR="00C57E0E" w:rsidRDefault="00C57E0E" w:rsidP="00EE269D">
      <w:pPr>
        <w:autoSpaceDE w:val="0"/>
        <w:autoSpaceDN w:val="0"/>
        <w:adjustRightInd w:val="0"/>
        <w:spacing w:after="0" w:line="240" w:lineRule="auto"/>
        <w:rPr>
          <w:rFonts w:ascii="Cambria" w:hAnsi="Cambria" w:cs="Cambria"/>
          <w:color w:val="000000"/>
          <w:sz w:val="24"/>
          <w:szCs w:val="24"/>
        </w:rPr>
      </w:pPr>
    </w:p>
    <w:p w14:paraId="03B33370" w14:textId="111D53FB"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The project will assess engineering and technology readiness through design</w:t>
      </w:r>
    </w:p>
    <w:p w14:paraId="0CC9106E"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reviews, IPRs, and other independent technical reviews as required.</w:t>
      </w:r>
    </w:p>
    <w:p w14:paraId="632EAFDB" w14:textId="77777777" w:rsidR="00C57E0E" w:rsidRDefault="00C57E0E" w:rsidP="00EE269D">
      <w:pPr>
        <w:autoSpaceDE w:val="0"/>
        <w:autoSpaceDN w:val="0"/>
        <w:adjustRightInd w:val="0"/>
        <w:spacing w:after="0" w:line="240" w:lineRule="auto"/>
        <w:rPr>
          <w:rFonts w:ascii="Cambria-Bold" w:hAnsi="Cambria-Bold" w:cs="Cambria-Bold"/>
          <w:b/>
          <w:bCs/>
          <w:color w:val="000000"/>
          <w:sz w:val="24"/>
          <w:szCs w:val="24"/>
        </w:rPr>
      </w:pPr>
    </w:p>
    <w:p w14:paraId="1887FD0B" w14:textId="2BB1E86F" w:rsidR="00EE269D" w:rsidRDefault="00EE269D" w:rsidP="00EE269D">
      <w:pPr>
        <w:autoSpaceDE w:val="0"/>
        <w:autoSpaceDN w:val="0"/>
        <w:adjustRightInd w:val="0"/>
        <w:spacing w:after="0" w:line="240" w:lineRule="auto"/>
        <w:rPr>
          <w:rFonts w:ascii="Cambria-Bold" w:hAnsi="Cambria-Bold" w:cs="Cambria-Bold"/>
          <w:b/>
          <w:bCs/>
          <w:color w:val="000000"/>
          <w:sz w:val="24"/>
          <w:szCs w:val="24"/>
        </w:rPr>
      </w:pPr>
      <w:r>
        <w:rPr>
          <w:rFonts w:ascii="Cambria-Bold" w:hAnsi="Cambria-Bold" w:cs="Cambria-Bold"/>
          <w:b/>
          <w:bCs/>
          <w:color w:val="000000"/>
          <w:sz w:val="24"/>
          <w:szCs w:val="24"/>
        </w:rPr>
        <w:t>4.4 Quality Assurance and Configuration/Document Management</w:t>
      </w:r>
    </w:p>
    <w:p w14:paraId="71A0E690" w14:textId="77777777" w:rsidR="00C57E0E" w:rsidRDefault="00C57E0E" w:rsidP="00EE269D">
      <w:pPr>
        <w:autoSpaceDE w:val="0"/>
        <w:autoSpaceDN w:val="0"/>
        <w:adjustRightInd w:val="0"/>
        <w:spacing w:after="0" w:line="240" w:lineRule="auto"/>
        <w:rPr>
          <w:rFonts w:ascii="Cambria" w:hAnsi="Cambria" w:cs="Cambria"/>
          <w:color w:val="000000"/>
          <w:sz w:val="24"/>
          <w:szCs w:val="24"/>
        </w:rPr>
      </w:pPr>
    </w:p>
    <w:p w14:paraId="34034180" w14:textId="6201943E" w:rsidR="00EE269D" w:rsidRDefault="00EE269D" w:rsidP="00EE269D">
      <w:pPr>
        <w:autoSpaceDE w:val="0"/>
        <w:autoSpaceDN w:val="0"/>
        <w:adjustRightInd w:val="0"/>
        <w:spacing w:after="0" w:line="240" w:lineRule="auto"/>
        <w:rPr>
          <w:rFonts w:ascii="Cambria" w:hAnsi="Cambria" w:cs="Cambria"/>
          <w:color w:val="0000FF"/>
          <w:sz w:val="24"/>
          <w:szCs w:val="24"/>
        </w:rPr>
      </w:pPr>
      <w:r>
        <w:rPr>
          <w:rFonts w:ascii="Cambria" w:hAnsi="Cambria" w:cs="Cambria"/>
          <w:color w:val="000000"/>
          <w:sz w:val="24"/>
          <w:szCs w:val="24"/>
        </w:rPr>
        <w:t xml:space="preserve">The project shall adopt in its entirety the </w:t>
      </w:r>
      <w:r>
        <w:rPr>
          <w:rFonts w:ascii="Cambria" w:hAnsi="Cambria" w:cs="Cambria"/>
          <w:color w:val="0000FF"/>
          <w:sz w:val="24"/>
          <w:szCs w:val="24"/>
        </w:rPr>
        <w:t>BNL Quality Assurance Program</w:t>
      </w:r>
    </w:p>
    <w:p w14:paraId="7BF48F4F"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maintained in the SBMS. This QA Program describes how the various BNL</w:t>
      </w:r>
    </w:p>
    <w:p w14:paraId="702AB24C"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management system processes and functions provide a management approach that</w:t>
      </w:r>
    </w:p>
    <w:p w14:paraId="3106FD54"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conforms to the basic requirements defined in DOE Order 414.1C, Quality</w:t>
      </w:r>
    </w:p>
    <w:p w14:paraId="743152C2"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lastRenderedPageBreak/>
        <w:t>Assurance. These requirements will include:</w:t>
      </w:r>
    </w:p>
    <w:p w14:paraId="2340D51D" w14:textId="1D59C797" w:rsidR="00EE269D" w:rsidRPr="008A1247" w:rsidRDefault="00EE269D" w:rsidP="008A1247">
      <w:pPr>
        <w:pStyle w:val="ListParagraph"/>
        <w:numPr>
          <w:ilvl w:val="0"/>
          <w:numId w:val="3"/>
        </w:numPr>
        <w:autoSpaceDE w:val="0"/>
        <w:autoSpaceDN w:val="0"/>
        <w:adjustRightInd w:val="0"/>
        <w:spacing w:after="0" w:line="240" w:lineRule="auto"/>
        <w:rPr>
          <w:rFonts w:ascii="Cambria" w:hAnsi="Cambria" w:cs="Cambria"/>
          <w:color w:val="000000"/>
          <w:sz w:val="24"/>
          <w:szCs w:val="24"/>
        </w:rPr>
      </w:pPr>
      <w:r w:rsidRPr="008A1247">
        <w:rPr>
          <w:rFonts w:ascii="Cambria" w:hAnsi="Cambria" w:cs="Cambria"/>
          <w:color w:val="000000"/>
          <w:sz w:val="24"/>
          <w:szCs w:val="24"/>
        </w:rPr>
        <w:t>Management criteria related to organizational structure, responsibilities,</w:t>
      </w:r>
    </w:p>
    <w:p w14:paraId="093C7E19" w14:textId="77777777" w:rsidR="00EE269D" w:rsidRPr="008A1247" w:rsidRDefault="00EE269D" w:rsidP="008A1247">
      <w:pPr>
        <w:pStyle w:val="ListParagraph"/>
        <w:autoSpaceDE w:val="0"/>
        <w:autoSpaceDN w:val="0"/>
        <w:adjustRightInd w:val="0"/>
        <w:spacing w:after="0" w:line="240" w:lineRule="auto"/>
        <w:rPr>
          <w:rFonts w:ascii="Cambria" w:hAnsi="Cambria" w:cs="Cambria"/>
          <w:color w:val="000000"/>
          <w:sz w:val="24"/>
          <w:szCs w:val="24"/>
        </w:rPr>
      </w:pPr>
      <w:r w:rsidRPr="008A1247">
        <w:rPr>
          <w:rFonts w:ascii="Cambria" w:hAnsi="Cambria" w:cs="Cambria"/>
          <w:color w:val="000000"/>
          <w:sz w:val="24"/>
          <w:szCs w:val="24"/>
        </w:rPr>
        <w:t>planning, scheduling, and cost control</w:t>
      </w:r>
    </w:p>
    <w:p w14:paraId="70BE4046" w14:textId="3EEB5F44" w:rsidR="00EE269D" w:rsidRPr="008A1247" w:rsidRDefault="00EE269D" w:rsidP="008A1247">
      <w:pPr>
        <w:pStyle w:val="ListParagraph"/>
        <w:numPr>
          <w:ilvl w:val="0"/>
          <w:numId w:val="3"/>
        </w:numPr>
        <w:autoSpaceDE w:val="0"/>
        <w:autoSpaceDN w:val="0"/>
        <w:adjustRightInd w:val="0"/>
        <w:spacing w:after="0" w:line="240" w:lineRule="auto"/>
        <w:rPr>
          <w:rFonts w:ascii="Cambria" w:hAnsi="Cambria" w:cs="Cambria"/>
          <w:color w:val="000000"/>
          <w:sz w:val="24"/>
          <w:szCs w:val="24"/>
        </w:rPr>
      </w:pPr>
      <w:r w:rsidRPr="008A1247">
        <w:rPr>
          <w:rFonts w:ascii="Cambria" w:hAnsi="Cambria" w:cs="Cambria"/>
          <w:color w:val="000000"/>
          <w:sz w:val="24"/>
          <w:szCs w:val="24"/>
        </w:rPr>
        <w:t>Training and qualifications of personnel</w:t>
      </w:r>
    </w:p>
    <w:p w14:paraId="4DB4AA4D" w14:textId="69CA8C3A" w:rsidR="00EE269D" w:rsidRPr="008A1247" w:rsidRDefault="00EE269D" w:rsidP="008A1247">
      <w:pPr>
        <w:pStyle w:val="ListParagraph"/>
        <w:numPr>
          <w:ilvl w:val="0"/>
          <w:numId w:val="3"/>
        </w:numPr>
        <w:autoSpaceDE w:val="0"/>
        <w:autoSpaceDN w:val="0"/>
        <w:adjustRightInd w:val="0"/>
        <w:spacing w:after="0" w:line="240" w:lineRule="auto"/>
        <w:rPr>
          <w:rFonts w:ascii="Cambria" w:hAnsi="Cambria" w:cs="Cambria"/>
          <w:color w:val="000000"/>
          <w:sz w:val="24"/>
          <w:szCs w:val="24"/>
        </w:rPr>
      </w:pPr>
      <w:r w:rsidRPr="008A1247">
        <w:rPr>
          <w:rFonts w:ascii="Cambria" w:hAnsi="Cambria" w:cs="Cambria"/>
          <w:color w:val="000000"/>
          <w:sz w:val="24"/>
          <w:szCs w:val="24"/>
        </w:rPr>
        <w:t>Quality improvement</w:t>
      </w:r>
    </w:p>
    <w:p w14:paraId="26F622F7" w14:textId="7FBCAD22" w:rsidR="00EE269D" w:rsidRPr="008A1247" w:rsidRDefault="00EE269D" w:rsidP="008A1247">
      <w:pPr>
        <w:pStyle w:val="ListParagraph"/>
        <w:numPr>
          <w:ilvl w:val="0"/>
          <w:numId w:val="3"/>
        </w:numPr>
        <w:autoSpaceDE w:val="0"/>
        <w:autoSpaceDN w:val="0"/>
        <w:adjustRightInd w:val="0"/>
        <w:spacing w:after="0" w:line="240" w:lineRule="auto"/>
        <w:rPr>
          <w:rFonts w:ascii="Cambria" w:hAnsi="Cambria" w:cs="Cambria"/>
          <w:color w:val="000000"/>
          <w:sz w:val="24"/>
          <w:szCs w:val="24"/>
        </w:rPr>
      </w:pPr>
      <w:r w:rsidRPr="008A1247">
        <w:rPr>
          <w:rFonts w:ascii="Cambria" w:hAnsi="Cambria" w:cs="Cambria"/>
          <w:color w:val="000000"/>
          <w:sz w:val="24"/>
          <w:szCs w:val="24"/>
        </w:rPr>
        <w:t>Documentation and records</w:t>
      </w:r>
    </w:p>
    <w:p w14:paraId="4BA83326" w14:textId="36B3F2D6" w:rsidR="00EE269D" w:rsidRPr="008A1247" w:rsidRDefault="00EE269D" w:rsidP="008A1247">
      <w:pPr>
        <w:pStyle w:val="ListParagraph"/>
        <w:numPr>
          <w:ilvl w:val="0"/>
          <w:numId w:val="3"/>
        </w:numPr>
        <w:autoSpaceDE w:val="0"/>
        <w:autoSpaceDN w:val="0"/>
        <w:adjustRightInd w:val="0"/>
        <w:spacing w:after="0" w:line="240" w:lineRule="auto"/>
        <w:rPr>
          <w:rFonts w:ascii="Cambria" w:hAnsi="Cambria" w:cs="Cambria"/>
          <w:color w:val="000000"/>
          <w:sz w:val="24"/>
          <w:szCs w:val="24"/>
        </w:rPr>
      </w:pPr>
      <w:r w:rsidRPr="008A1247">
        <w:rPr>
          <w:rFonts w:ascii="Cambria" w:hAnsi="Cambria" w:cs="Cambria"/>
          <w:color w:val="000000"/>
          <w:sz w:val="24"/>
          <w:szCs w:val="24"/>
        </w:rPr>
        <w:t>Work processes</w:t>
      </w:r>
    </w:p>
    <w:p w14:paraId="0EBF1558" w14:textId="4B947593" w:rsidR="00EE269D" w:rsidRPr="008A1247" w:rsidRDefault="00EE269D" w:rsidP="008A1247">
      <w:pPr>
        <w:pStyle w:val="ListParagraph"/>
        <w:numPr>
          <w:ilvl w:val="0"/>
          <w:numId w:val="3"/>
        </w:numPr>
        <w:autoSpaceDE w:val="0"/>
        <w:autoSpaceDN w:val="0"/>
        <w:adjustRightInd w:val="0"/>
        <w:spacing w:after="0" w:line="240" w:lineRule="auto"/>
        <w:rPr>
          <w:rFonts w:ascii="Cambria" w:hAnsi="Cambria" w:cs="Cambria"/>
          <w:color w:val="000000"/>
          <w:sz w:val="24"/>
          <w:szCs w:val="24"/>
        </w:rPr>
      </w:pPr>
      <w:r w:rsidRPr="008A1247">
        <w:rPr>
          <w:rFonts w:ascii="Cambria" w:hAnsi="Cambria" w:cs="Cambria"/>
          <w:color w:val="000000"/>
          <w:sz w:val="24"/>
          <w:szCs w:val="24"/>
        </w:rPr>
        <w:t>Engineering and design</w:t>
      </w:r>
    </w:p>
    <w:p w14:paraId="53A290F5" w14:textId="61D94D87" w:rsidR="00EE269D" w:rsidRPr="008A1247" w:rsidRDefault="00EE269D" w:rsidP="008A1247">
      <w:pPr>
        <w:pStyle w:val="ListParagraph"/>
        <w:numPr>
          <w:ilvl w:val="0"/>
          <w:numId w:val="3"/>
        </w:numPr>
        <w:autoSpaceDE w:val="0"/>
        <w:autoSpaceDN w:val="0"/>
        <w:adjustRightInd w:val="0"/>
        <w:spacing w:after="0" w:line="240" w:lineRule="auto"/>
        <w:rPr>
          <w:rFonts w:ascii="Cambria" w:hAnsi="Cambria" w:cs="Cambria"/>
          <w:color w:val="000000"/>
          <w:sz w:val="24"/>
          <w:szCs w:val="24"/>
        </w:rPr>
      </w:pPr>
      <w:r w:rsidRPr="008A1247">
        <w:rPr>
          <w:rFonts w:ascii="Cambria" w:hAnsi="Cambria" w:cs="Cambria"/>
          <w:color w:val="000000"/>
          <w:sz w:val="24"/>
          <w:szCs w:val="24"/>
        </w:rPr>
        <w:t>Procurement</w:t>
      </w:r>
    </w:p>
    <w:p w14:paraId="1E9FE57E" w14:textId="182D9466" w:rsidR="00EE269D" w:rsidRPr="008A1247" w:rsidRDefault="00EE269D" w:rsidP="008A1247">
      <w:pPr>
        <w:pStyle w:val="ListParagraph"/>
        <w:numPr>
          <w:ilvl w:val="0"/>
          <w:numId w:val="3"/>
        </w:numPr>
        <w:autoSpaceDE w:val="0"/>
        <w:autoSpaceDN w:val="0"/>
        <w:adjustRightInd w:val="0"/>
        <w:spacing w:after="0" w:line="240" w:lineRule="auto"/>
        <w:rPr>
          <w:rFonts w:ascii="Cambria" w:hAnsi="Cambria" w:cs="Cambria"/>
          <w:color w:val="000000"/>
          <w:sz w:val="24"/>
          <w:szCs w:val="24"/>
        </w:rPr>
      </w:pPr>
      <w:r w:rsidRPr="008A1247">
        <w:rPr>
          <w:rFonts w:ascii="Cambria" w:hAnsi="Cambria" w:cs="Cambria"/>
          <w:color w:val="000000"/>
          <w:sz w:val="24"/>
          <w:szCs w:val="24"/>
        </w:rPr>
        <w:t>Inspection and acceptance testing</w:t>
      </w:r>
    </w:p>
    <w:p w14:paraId="7733C81F" w14:textId="2C86F323" w:rsidR="00EE269D" w:rsidRPr="008A1247" w:rsidRDefault="00EE269D" w:rsidP="008A1247">
      <w:pPr>
        <w:pStyle w:val="ListParagraph"/>
        <w:numPr>
          <w:ilvl w:val="0"/>
          <w:numId w:val="3"/>
        </w:numPr>
        <w:autoSpaceDE w:val="0"/>
        <w:autoSpaceDN w:val="0"/>
        <w:adjustRightInd w:val="0"/>
        <w:spacing w:after="0" w:line="240" w:lineRule="auto"/>
        <w:rPr>
          <w:rFonts w:ascii="Cambria" w:hAnsi="Cambria" w:cs="Cambria"/>
          <w:color w:val="000000"/>
          <w:sz w:val="24"/>
          <w:szCs w:val="24"/>
        </w:rPr>
      </w:pPr>
      <w:r w:rsidRPr="008A1247">
        <w:rPr>
          <w:rFonts w:ascii="Cambria" w:hAnsi="Cambria" w:cs="Cambria"/>
          <w:color w:val="000000"/>
          <w:sz w:val="24"/>
          <w:szCs w:val="24"/>
        </w:rPr>
        <w:t>Assessment</w:t>
      </w:r>
    </w:p>
    <w:p w14:paraId="189133B1"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The quality program embodies the concept of the “graded approach” i.e., the</w:t>
      </w:r>
    </w:p>
    <w:p w14:paraId="1578CC78"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selection and application of appropriate technical and administrative controls to</w:t>
      </w:r>
    </w:p>
    <w:p w14:paraId="5648CFCA"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work activities, equipment and items commensurate with the associated</w:t>
      </w:r>
    </w:p>
    <w:p w14:paraId="42585B10"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environment, safety and health risks and programmatic impact. The graded</w:t>
      </w:r>
    </w:p>
    <w:p w14:paraId="52AA571E"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approach does not allow internal or external requirements to be ignored or waived,</w:t>
      </w:r>
    </w:p>
    <w:p w14:paraId="6BDCFFB9"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but does allow the degree of controls, verification, and documentation to be varied</w:t>
      </w:r>
    </w:p>
    <w:p w14:paraId="184B56A5"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in meeting requirements based on environment, safety and health risks and</w:t>
      </w:r>
    </w:p>
    <w:p w14:paraId="1D47A3ED"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programmatic issues.</w:t>
      </w:r>
    </w:p>
    <w:p w14:paraId="60688679" w14:textId="51C8108C" w:rsidR="00EE269D" w:rsidRDefault="00EE269D" w:rsidP="00EE269D">
      <w:pPr>
        <w:autoSpaceDE w:val="0"/>
        <w:autoSpaceDN w:val="0"/>
        <w:adjustRightInd w:val="0"/>
        <w:spacing w:after="0" w:line="240" w:lineRule="auto"/>
        <w:rPr>
          <w:rFonts w:ascii="Cambria" w:hAnsi="Cambria" w:cs="Cambria"/>
          <w:color w:val="000000"/>
          <w:sz w:val="24"/>
          <w:szCs w:val="24"/>
        </w:rPr>
      </w:pPr>
    </w:p>
    <w:p w14:paraId="3080B9AB" w14:textId="77777777" w:rsidR="00C57E0E" w:rsidRDefault="00C57E0E" w:rsidP="00EE269D">
      <w:pPr>
        <w:autoSpaceDE w:val="0"/>
        <w:autoSpaceDN w:val="0"/>
        <w:adjustRightInd w:val="0"/>
        <w:spacing w:after="0" w:line="240" w:lineRule="auto"/>
        <w:rPr>
          <w:rFonts w:ascii="Cambria" w:hAnsi="Cambria" w:cs="Cambria"/>
          <w:color w:val="000000"/>
          <w:sz w:val="24"/>
          <w:szCs w:val="24"/>
        </w:rPr>
      </w:pPr>
    </w:p>
    <w:p w14:paraId="24FBC5D2" w14:textId="77777777" w:rsidR="00EE269D" w:rsidRDefault="00EE269D" w:rsidP="00EE269D">
      <w:pPr>
        <w:autoSpaceDE w:val="0"/>
        <w:autoSpaceDN w:val="0"/>
        <w:adjustRightInd w:val="0"/>
        <w:spacing w:after="0" w:line="240" w:lineRule="auto"/>
        <w:rPr>
          <w:rFonts w:ascii="Cambria-Bold" w:hAnsi="Cambria-Bold" w:cs="Cambria-Bold"/>
          <w:b/>
          <w:bCs/>
          <w:color w:val="000000"/>
          <w:sz w:val="24"/>
          <w:szCs w:val="24"/>
        </w:rPr>
      </w:pPr>
      <w:r>
        <w:rPr>
          <w:rFonts w:ascii="Cambria-Bold" w:hAnsi="Cambria-Bold" w:cs="Cambria-Bold"/>
          <w:b/>
          <w:bCs/>
          <w:color w:val="000000"/>
          <w:sz w:val="24"/>
          <w:szCs w:val="24"/>
        </w:rPr>
        <w:t>4.5 Operation Readiness Plan</w:t>
      </w:r>
    </w:p>
    <w:p w14:paraId="58F5F45B" w14:textId="77777777" w:rsidR="00C57E0E" w:rsidRDefault="00C57E0E" w:rsidP="00EE269D">
      <w:pPr>
        <w:autoSpaceDE w:val="0"/>
        <w:autoSpaceDN w:val="0"/>
        <w:adjustRightInd w:val="0"/>
        <w:spacing w:after="0" w:line="240" w:lineRule="auto"/>
        <w:rPr>
          <w:rFonts w:ascii="Cambria" w:hAnsi="Cambria" w:cs="Cambria"/>
          <w:color w:val="000000"/>
          <w:sz w:val="24"/>
          <w:szCs w:val="24"/>
        </w:rPr>
      </w:pPr>
    </w:p>
    <w:p w14:paraId="69E0D869" w14:textId="032FB9C2"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 xml:space="preserve">To ensure that </w:t>
      </w:r>
      <w:proofErr w:type="spellStart"/>
      <w:r w:rsidR="008A1247">
        <w:rPr>
          <w:rFonts w:ascii="Cambria" w:hAnsi="Cambria" w:cs="Cambria"/>
          <w:color w:val="000000"/>
          <w:sz w:val="24"/>
          <w:szCs w:val="24"/>
        </w:rPr>
        <w:t>sPHENIX</w:t>
      </w:r>
      <w:proofErr w:type="spellEnd"/>
      <w:r>
        <w:rPr>
          <w:rFonts w:ascii="Cambria" w:hAnsi="Cambria" w:cs="Cambria"/>
          <w:color w:val="000000"/>
          <w:sz w:val="24"/>
          <w:szCs w:val="24"/>
        </w:rPr>
        <w:t xml:space="preserve"> will be ready to operate with the new inner sectors and the</w:t>
      </w:r>
    </w:p>
    <w:p w14:paraId="71DB2D27" w14:textId="11A51CFC"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 xml:space="preserve">associated electronics the constructing and testing plan includes time </w:t>
      </w:r>
      <w:r w:rsidR="001E3FD7">
        <w:rPr>
          <w:rFonts w:ascii="Cambria" w:hAnsi="Cambria" w:cs="Cambria"/>
          <w:color w:val="000000"/>
          <w:sz w:val="24"/>
          <w:szCs w:val="24"/>
        </w:rPr>
        <w:t xml:space="preserve">to </w:t>
      </w:r>
      <w:r>
        <w:rPr>
          <w:rFonts w:ascii="Cambria" w:hAnsi="Cambria" w:cs="Cambria"/>
          <w:color w:val="000000"/>
          <w:sz w:val="24"/>
          <w:szCs w:val="24"/>
        </w:rPr>
        <w:t>achieve this</w:t>
      </w:r>
    </w:p>
    <w:p w14:paraId="42C0E28A" w14:textId="77777777" w:rsidR="0031206A"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goal.</w:t>
      </w:r>
    </w:p>
    <w:p w14:paraId="0060186C" w14:textId="0966AB28" w:rsidR="00EE269D" w:rsidRDefault="0031206A"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ab/>
      </w:r>
    </w:p>
    <w:p w14:paraId="0195A667"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The project plan includes sufficient time to develop prototype for the electronics</w:t>
      </w:r>
    </w:p>
    <w:p w14:paraId="7CA77F82" w14:textId="1F7D41B9" w:rsidR="00FE746A" w:rsidRDefault="00EE269D" w:rsidP="00FE746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readout, and checkout of these both with and without beam. This will first</w:t>
      </w:r>
      <w:r w:rsidR="00FE746A">
        <w:rPr>
          <w:rFonts w:ascii="Cambria" w:hAnsi="Cambria" w:cs="Cambria"/>
          <w:color w:val="000000"/>
          <w:sz w:val="24"/>
          <w:szCs w:val="24"/>
        </w:rPr>
        <w:t xml:space="preserve"> </w:t>
      </w:r>
      <w:r>
        <w:rPr>
          <w:rFonts w:ascii="Cambria" w:hAnsi="Cambria" w:cs="Cambria"/>
          <w:color w:val="000000"/>
          <w:sz w:val="24"/>
          <w:szCs w:val="24"/>
        </w:rPr>
        <w:t xml:space="preserve">allow for test of </w:t>
      </w:r>
      <w:r w:rsidR="00FE746A">
        <w:rPr>
          <w:rFonts w:ascii="Cambria" w:hAnsi="Cambria" w:cs="Cambria"/>
          <w:color w:val="000000"/>
          <w:sz w:val="24"/>
          <w:szCs w:val="24"/>
        </w:rPr>
        <w:t xml:space="preserve">the RU’s and FELIX </w:t>
      </w:r>
      <w:r>
        <w:rPr>
          <w:rFonts w:ascii="Cambria" w:hAnsi="Cambria" w:cs="Cambria"/>
          <w:color w:val="000000"/>
          <w:sz w:val="24"/>
          <w:szCs w:val="24"/>
        </w:rPr>
        <w:t xml:space="preserve">on </w:t>
      </w:r>
      <w:r w:rsidR="00FE746A">
        <w:rPr>
          <w:rFonts w:ascii="Cambria" w:hAnsi="Cambria" w:cs="Cambria"/>
          <w:color w:val="000000"/>
          <w:sz w:val="24"/>
          <w:szCs w:val="24"/>
        </w:rPr>
        <w:t>both</w:t>
      </w:r>
      <w:r>
        <w:rPr>
          <w:rFonts w:ascii="Cambria" w:hAnsi="Cambria" w:cs="Cambria"/>
          <w:color w:val="000000"/>
          <w:sz w:val="24"/>
          <w:szCs w:val="24"/>
        </w:rPr>
        <w:t xml:space="preserve"> </w:t>
      </w:r>
      <w:r w:rsidR="00FE746A">
        <w:rPr>
          <w:rFonts w:ascii="Cambria" w:hAnsi="Cambria" w:cs="Cambria"/>
          <w:color w:val="000000"/>
          <w:sz w:val="24"/>
          <w:szCs w:val="24"/>
        </w:rPr>
        <w:t xml:space="preserve">half barrel’s </w:t>
      </w:r>
      <w:r>
        <w:rPr>
          <w:rFonts w:ascii="Cambria" w:hAnsi="Cambria" w:cs="Cambria"/>
          <w:color w:val="000000"/>
          <w:sz w:val="24"/>
          <w:szCs w:val="24"/>
        </w:rPr>
        <w:t>instrumented with electronics before the final installation</w:t>
      </w:r>
      <w:r w:rsidR="00FE746A">
        <w:rPr>
          <w:rFonts w:ascii="Cambria" w:hAnsi="Cambria" w:cs="Cambria"/>
          <w:color w:val="000000"/>
          <w:sz w:val="24"/>
          <w:szCs w:val="24"/>
        </w:rPr>
        <w:t xml:space="preserve"> </w:t>
      </w:r>
      <w:r>
        <w:rPr>
          <w:rFonts w:ascii="Cambria" w:hAnsi="Cambria" w:cs="Cambria"/>
          <w:color w:val="000000"/>
          <w:sz w:val="24"/>
          <w:szCs w:val="24"/>
        </w:rPr>
        <w:t>of all electronics for subsequent years. This also allows for development of any</w:t>
      </w:r>
      <w:r w:rsidR="00FE746A">
        <w:rPr>
          <w:rFonts w:ascii="Cambria" w:hAnsi="Cambria" w:cs="Cambria"/>
          <w:color w:val="000000"/>
          <w:sz w:val="24"/>
          <w:szCs w:val="24"/>
        </w:rPr>
        <w:t xml:space="preserve"> </w:t>
      </w:r>
      <w:r>
        <w:rPr>
          <w:rFonts w:ascii="Cambria" w:hAnsi="Cambria" w:cs="Cambria"/>
          <w:color w:val="000000"/>
          <w:sz w:val="24"/>
          <w:szCs w:val="24"/>
        </w:rPr>
        <w:t>new</w:t>
      </w:r>
      <w:r w:rsidR="00FE746A">
        <w:rPr>
          <w:rFonts w:ascii="Cambria" w:hAnsi="Cambria" w:cs="Cambria"/>
          <w:color w:val="000000"/>
          <w:sz w:val="24"/>
          <w:szCs w:val="24"/>
        </w:rPr>
        <w:t xml:space="preserve"> </w:t>
      </w:r>
      <w:r>
        <w:rPr>
          <w:rFonts w:ascii="Cambria" w:hAnsi="Cambria" w:cs="Cambria"/>
          <w:color w:val="000000"/>
          <w:sz w:val="24"/>
          <w:szCs w:val="24"/>
        </w:rPr>
        <w:t>online, offline code well ahead of the physics run</w:t>
      </w:r>
      <w:r w:rsidR="00FE746A">
        <w:rPr>
          <w:rFonts w:ascii="Cambria" w:hAnsi="Cambria" w:cs="Cambria"/>
          <w:color w:val="000000"/>
          <w:sz w:val="24"/>
          <w:szCs w:val="24"/>
        </w:rPr>
        <w:t>.</w:t>
      </w:r>
    </w:p>
    <w:p w14:paraId="1138364C" w14:textId="4D577C1F" w:rsidR="00EE269D" w:rsidRDefault="00EE269D" w:rsidP="00EE269D">
      <w:pPr>
        <w:autoSpaceDE w:val="0"/>
        <w:autoSpaceDN w:val="0"/>
        <w:adjustRightInd w:val="0"/>
        <w:spacing w:after="0" w:line="240" w:lineRule="auto"/>
        <w:rPr>
          <w:rFonts w:ascii="Cambria" w:hAnsi="Cambria" w:cs="Cambria"/>
          <w:color w:val="000000"/>
          <w:sz w:val="24"/>
          <w:szCs w:val="24"/>
        </w:rPr>
      </w:pPr>
    </w:p>
    <w:p w14:paraId="3487C14D" w14:textId="77777777" w:rsidR="00EE269D" w:rsidRDefault="00EE269D" w:rsidP="00EE269D">
      <w:pPr>
        <w:autoSpaceDE w:val="0"/>
        <w:autoSpaceDN w:val="0"/>
        <w:adjustRightInd w:val="0"/>
        <w:spacing w:after="0" w:line="240" w:lineRule="auto"/>
        <w:rPr>
          <w:rFonts w:ascii="Cambria-Bold" w:hAnsi="Cambria-Bold" w:cs="Cambria-Bold"/>
          <w:b/>
          <w:bCs/>
          <w:color w:val="000000"/>
          <w:sz w:val="24"/>
          <w:szCs w:val="24"/>
        </w:rPr>
      </w:pPr>
      <w:r>
        <w:rPr>
          <w:rFonts w:ascii="Cambria-Bold" w:hAnsi="Cambria-Bold" w:cs="Cambria-Bold"/>
          <w:b/>
          <w:bCs/>
          <w:color w:val="000000"/>
          <w:sz w:val="24"/>
          <w:szCs w:val="24"/>
        </w:rPr>
        <w:t>4.6 ESSH Plans for Fabrication</w:t>
      </w:r>
    </w:p>
    <w:p w14:paraId="0CC705CA" w14:textId="77777777" w:rsidR="0031206A" w:rsidRDefault="0031206A" w:rsidP="00EE269D">
      <w:pPr>
        <w:autoSpaceDE w:val="0"/>
        <w:autoSpaceDN w:val="0"/>
        <w:adjustRightInd w:val="0"/>
        <w:spacing w:after="0" w:line="240" w:lineRule="auto"/>
        <w:rPr>
          <w:rFonts w:ascii="Cambria" w:hAnsi="Cambria" w:cs="Cambria"/>
          <w:color w:val="000000"/>
          <w:sz w:val="24"/>
          <w:szCs w:val="24"/>
        </w:rPr>
      </w:pPr>
    </w:p>
    <w:p w14:paraId="3B4C01E9" w14:textId="35103289"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The</w:t>
      </w:r>
      <w:r w:rsidR="008A1247">
        <w:rPr>
          <w:rFonts w:ascii="Cambria" w:hAnsi="Cambria" w:cs="Cambria"/>
          <w:color w:val="000000"/>
          <w:sz w:val="24"/>
          <w:szCs w:val="24"/>
        </w:rPr>
        <w:t xml:space="preserve"> MVTX </w:t>
      </w:r>
      <w:r>
        <w:rPr>
          <w:rFonts w:ascii="Cambria" w:hAnsi="Cambria" w:cs="Cambria"/>
          <w:color w:val="000000"/>
          <w:sz w:val="24"/>
          <w:szCs w:val="24"/>
        </w:rPr>
        <w:t xml:space="preserve">upgrade for </w:t>
      </w:r>
      <w:r w:rsidR="008A1247">
        <w:rPr>
          <w:rFonts w:ascii="Cambria" w:hAnsi="Cambria" w:cs="Cambria"/>
          <w:color w:val="000000"/>
          <w:sz w:val="24"/>
          <w:szCs w:val="24"/>
        </w:rPr>
        <w:t>sPHENIX</w:t>
      </w:r>
      <w:r>
        <w:rPr>
          <w:rFonts w:ascii="Cambria" w:hAnsi="Cambria" w:cs="Cambria"/>
          <w:color w:val="000000"/>
          <w:sz w:val="24"/>
          <w:szCs w:val="24"/>
        </w:rPr>
        <w:t xml:space="preserve"> will use the BNL </w:t>
      </w:r>
      <w:r w:rsidR="00E264DB">
        <w:rPr>
          <w:rFonts w:ascii="Cambria" w:hAnsi="Cambria" w:cs="Cambria"/>
          <w:color w:val="000000"/>
          <w:sz w:val="24"/>
          <w:szCs w:val="24"/>
        </w:rPr>
        <w:t xml:space="preserve">Quality Assurance Program </w:t>
      </w:r>
      <w:r>
        <w:rPr>
          <w:rFonts w:ascii="Cambria" w:hAnsi="Cambria" w:cs="Cambria"/>
          <w:color w:val="000000"/>
          <w:sz w:val="24"/>
          <w:szCs w:val="24"/>
        </w:rPr>
        <w:t>to identify and control hazards for</w:t>
      </w:r>
      <w:r w:rsidR="00E264DB">
        <w:rPr>
          <w:rFonts w:ascii="Cambria" w:hAnsi="Cambria" w:cs="Cambria"/>
          <w:color w:val="000000"/>
          <w:sz w:val="24"/>
          <w:szCs w:val="24"/>
        </w:rPr>
        <w:t xml:space="preserve"> </w:t>
      </w:r>
      <w:r>
        <w:rPr>
          <w:rFonts w:ascii="Cambria" w:hAnsi="Cambria" w:cs="Cambria"/>
          <w:color w:val="000000"/>
          <w:sz w:val="24"/>
          <w:szCs w:val="24"/>
        </w:rPr>
        <w:t xml:space="preserve">all equipment and work at BNL for the </w:t>
      </w:r>
      <w:r w:rsidR="00FE746A">
        <w:rPr>
          <w:rFonts w:ascii="Cambria" w:hAnsi="Cambria" w:cs="Cambria"/>
          <w:color w:val="000000"/>
          <w:sz w:val="24"/>
          <w:szCs w:val="24"/>
        </w:rPr>
        <w:t>MVTX</w:t>
      </w:r>
      <w:r>
        <w:rPr>
          <w:rFonts w:ascii="Cambria" w:hAnsi="Cambria" w:cs="Cambria"/>
          <w:color w:val="000000"/>
          <w:sz w:val="24"/>
          <w:szCs w:val="24"/>
        </w:rPr>
        <w:t>. The project will prepare</w:t>
      </w:r>
      <w:r w:rsidR="00FE746A">
        <w:rPr>
          <w:rFonts w:ascii="Cambria" w:hAnsi="Cambria" w:cs="Cambria"/>
          <w:color w:val="000000"/>
          <w:sz w:val="24"/>
          <w:szCs w:val="24"/>
        </w:rPr>
        <w:t xml:space="preserve"> </w:t>
      </w:r>
      <w:r>
        <w:rPr>
          <w:rFonts w:ascii="Cambria" w:hAnsi="Cambria" w:cs="Cambria"/>
          <w:color w:val="000000"/>
          <w:sz w:val="24"/>
          <w:szCs w:val="24"/>
        </w:rPr>
        <w:t>designs and work procedures and have them reviewed by the appropriate laboratory</w:t>
      </w:r>
      <w:r w:rsidR="00FE746A">
        <w:rPr>
          <w:rFonts w:ascii="Cambria" w:hAnsi="Cambria" w:cs="Cambria"/>
          <w:color w:val="000000"/>
          <w:sz w:val="24"/>
          <w:szCs w:val="24"/>
        </w:rPr>
        <w:t xml:space="preserve"> </w:t>
      </w:r>
      <w:r>
        <w:rPr>
          <w:rFonts w:ascii="Cambria" w:hAnsi="Cambria" w:cs="Cambria"/>
          <w:color w:val="000000"/>
          <w:sz w:val="24"/>
          <w:szCs w:val="24"/>
        </w:rPr>
        <w:t xml:space="preserve">or department review committees. The equipment and work practices used at </w:t>
      </w:r>
      <w:r w:rsidR="0031206A">
        <w:rPr>
          <w:rFonts w:ascii="Cambria" w:hAnsi="Cambria" w:cs="Cambria"/>
          <w:color w:val="000000"/>
          <w:sz w:val="24"/>
          <w:szCs w:val="24"/>
        </w:rPr>
        <w:t xml:space="preserve">sPHENIX </w:t>
      </w:r>
      <w:r>
        <w:rPr>
          <w:rFonts w:ascii="Cambria" w:hAnsi="Cambria" w:cs="Cambria"/>
          <w:color w:val="000000"/>
          <w:sz w:val="24"/>
          <w:szCs w:val="24"/>
        </w:rPr>
        <w:t>will be reviewed by the C-AD Experimental Safety Review Committee (ESRC). The installation will be covered under the rules and safeguards</w:t>
      </w:r>
      <w:r w:rsidR="00FE746A">
        <w:rPr>
          <w:rFonts w:ascii="Cambria" w:hAnsi="Cambria" w:cs="Cambria"/>
          <w:color w:val="000000"/>
          <w:sz w:val="24"/>
          <w:szCs w:val="24"/>
        </w:rPr>
        <w:t xml:space="preserve"> </w:t>
      </w:r>
      <w:r>
        <w:rPr>
          <w:rFonts w:ascii="Cambria" w:hAnsi="Cambria" w:cs="Cambria"/>
          <w:color w:val="000000"/>
          <w:sz w:val="24"/>
          <w:szCs w:val="24"/>
        </w:rPr>
        <w:t>in place for work in the RHIC experimental halls and assembly area.</w:t>
      </w:r>
    </w:p>
    <w:p w14:paraId="0EAA3649" w14:textId="77777777" w:rsidR="0031206A" w:rsidRDefault="0031206A" w:rsidP="00EE269D">
      <w:pPr>
        <w:autoSpaceDE w:val="0"/>
        <w:autoSpaceDN w:val="0"/>
        <w:adjustRightInd w:val="0"/>
        <w:spacing w:after="0" w:line="240" w:lineRule="auto"/>
        <w:rPr>
          <w:rFonts w:ascii="Cambria-Bold" w:hAnsi="Cambria-Bold" w:cs="Cambria-Bold"/>
          <w:b/>
          <w:bCs/>
          <w:color w:val="000000"/>
          <w:sz w:val="24"/>
          <w:szCs w:val="24"/>
        </w:rPr>
      </w:pPr>
    </w:p>
    <w:p w14:paraId="6DF21EDC" w14:textId="4A35D7F2" w:rsidR="00EE269D" w:rsidRDefault="00EE269D" w:rsidP="00EE269D">
      <w:pPr>
        <w:autoSpaceDE w:val="0"/>
        <w:autoSpaceDN w:val="0"/>
        <w:adjustRightInd w:val="0"/>
        <w:spacing w:after="0" w:line="240" w:lineRule="auto"/>
        <w:rPr>
          <w:rFonts w:ascii="Cambria-Bold" w:hAnsi="Cambria-Bold" w:cs="Cambria-Bold"/>
          <w:b/>
          <w:bCs/>
          <w:color w:val="000000"/>
          <w:sz w:val="24"/>
          <w:szCs w:val="24"/>
        </w:rPr>
      </w:pPr>
      <w:r>
        <w:rPr>
          <w:rFonts w:ascii="Cambria-Bold" w:hAnsi="Cambria-Bold" w:cs="Cambria-Bold"/>
          <w:b/>
          <w:bCs/>
          <w:color w:val="000000"/>
          <w:sz w:val="24"/>
          <w:szCs w:val="24"/>
        </w:rPr>
        <w:t>4.7 Project Closeout</w:t>
      </w:r>
    </w:p>
    <w:p w14:paraId="6B4CF304" w14:textId="77777777" w:rsidR="0031206A" w:rsidRDefault="0031206A" w:rsidP="00EE269D">
      <w:pPr>
        <w:autoSpaceDE w:val="0"/>
        <w:autoSpaceDN w:val="0"/>
        <w:adjustRightInd w:val="0"/>
        <w:spacing w:after="0" w:line="240" w:lineRule="auto"/>
        <w:rPr>
          <w:rFonts w:ascii="Cambria" w:hAnsi="Cambria" w:cs="Cambria"/>
          <w:color w:val="000000"/>
          <w:sz w:val="24"/>
          <w:szCs w:val="24"/>
        </w:rPr>
      </w:pPr>
    </w:p>
    <w:p w14:paraId="7C96C83E" w14:textId="7E44523B"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lastRenderedPageBreak/>
        <w:t xml:space="preserve">Project closeout will begin when all equipment is ready for installation in the </w:t>
      </w:r>
      <w:r w:rsidR="0031206A">
        <w:rPr>
          <w:rFonts w:ascii="Cambria" w:hAnsi="Cambria" w:cs="Cambria"/>
          <w:color w:val="000000"/>
          <w:sz w:val="24"/>
          <w:szCs w:val="24"/>
        </w:rPr>
        <w:t>sPHENIX</w:t>
      </w:r>
    </w:p>
    <w:p w14:paraId="3F8CE923"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detector. A Closeout Report will be developed prior to the date that closeout is</w:t>
      </w:r>
    </w:p>
    <w:p w14:paraId="40FB992B" w14:textId="7B2D7516"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 xml:space="preserve">expected in order to demonstrate the fulfillment of the </w:t>
      </w:r>
      <w:r w:rsidR="0031206A">
        <w:rPr>
          <w:rFonts w:ascii="Cambria" w:hAnsi="Cambria" w:cs="Cambria"/>
          <w:color w:val="000000"/>
          <w:sz w:val="24"/>
          <w:szCs w:val="24"/>
        </w:rPr>
        <w:t>functional requirements</w:t>
      </w:r>
      <w:r>
        <w:rPr>
          <w:rFonts w:ascii="Cambria" w:hAnsi="Cambria" w:cs="Cambria"/>
          <w:color w:val="000000"/>
          <w:sz w:val="24"/>
          <w:szCs w:val="24"/>
        </w:rPr>
        <w:t xml:space="preserve"> and deliverables. The</w:t>
      </w:r>
      <w:r w:rsidR="0031206A">
        <w:rPr>
          <w:rFonts w:ascii="Cambria" w:hAnsi="Cambria" w:cs="Cambria"/>
          <w:color w:val="000000"/>
          <w:sz w:val="24"/>
          <w:szCs w:val="24"/>
        </w:rPr>
        <w:t xml:space="preserve"> </w:t>
      </w:r>
      <w:r>
        <w:rPr>
          <w:rFonts w:ascii="Cambria" w:hAnsi="Cambria" w:cs="Cambria"/>
          <w:color w:val="000000"/>
          <w:sz w:val="24"/>
          <w:szCs w:val="24"/>
        </w:rPr>
        <w:t>report will address the closure status of purchase orders, the expected total cost of</w:t>
      </w:r>
      <w:r w:rsidR="0031206A">
        <w:rPr>
          <w:rFonts w:ascii="Cambria" w:hAnsi="Cambria" w:cs="Cambria"/>
          <w:color w:val="000000"/>
          <w:sz w:val="24"/>
          <w:szCs w:val="24"/>
        </w:rPr>
        <w:t xml:space="preserve"> </w:t>
      </w:r>
      <w:r>
        <w:rPr>
          <w:rFonts w:ascii="Cambria" w:hAnsi="Cambria" w:cs="Cambria"/>
          <w:color w:val="000000"/>
          <w:sz w:val="24"/>
          <w:szCs w:val="24"/>
        </w:rPr>
        <w:t>the Project and the value of remaining contingency. The report will also explain</w:t>
      </w:r>
    </w:p>
    <w:p w14:paraId="0F2FEF86" w14:textId="77777777"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when the Project is expected to close the control accounts and complete the</w:t>
      </w:r>
    </w:p>
    <w:p w14:paraId="3D04A68C" w14:textId="3579D96C" w:rsidR="00EE269D"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 xml:space="preserve">financial closeout. </w:t>
      </w:r>
      <w:r w:rsidR="0031206A">
        <w:rPr>
          <w:rFonts w:ascii="Cambria" w:hAnsi="Cambria" w:cs="Cambria"/>
          <w:color w:val="000000"/>
          <w:sz w:val="24"/>
          <w:szCs w:val="24"/>
        </w:rPr>
        <w:t>BNL</w:t>
      </w:r>
      <w:r>
        <w:rPr>
          <w:rFonts w:ascii="Cambria" w:hAnsi="Cambria" w:cs="Cambria"/>
          <w:color w:val="000000"/>
          <w:sz w:val="24"/>
          <w:szCs w:val="24"/>
        </w:rPr>
        <w:t xml:space="preserve"> will hold a Project Closeout review to assess whether the</w:t>
      </w:r>
    </w:p>
    <w:p w14:paraId="3763E76A" w14:textId="63AD5465" w:rsidR="000C04FB" w:rsidRPr="0031206A" w:rsidRDefault="00EE269D" w:rsidP="00EE269D">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 xml:space="preserve">deliverables and </w:t>
      </w:r>
      <w:r w:rsidR="0031206A">
        <w:rPr>
          <w:rFonts w:ascii="Cambria" w:hAnsi="Cambria" w:cs="Cambria"/>
          <w:color w:val="000000"/>
          <w:sz w:val="24"/>
          <w:szCs w:val="24"/>
        </w:rPr>
        <w:t xml:space="preserve">functional </w:t>
      </w:r>
      <w:proofErr w:type="gramStart"/>
      <w:r w:rsidR="0031206A">
        <w:rPr>
          <w:rFonts w:ascii="Cambria" w:hAnsi="Cambria" w:cs="Cambria"/>
          <w:color w:val="000000"/>
          <w:sz w:val="24"/>
          <w:szCs w:val="24"/>
        </w:rPr>
        <w:t xml:space="preserve">requirements </w:t>
      </w:r>
      <w:r>
        <w:rPr>
          <w:rFonts w:ascii="Cambria" w:hAnsi="Cambria" w:cs="Cambria"/>
          <w:color w:val="000000"/>
          <w:sz w:val="24"/>
          <w:szCs w:val="24"/>
        </w:rPr>
        <w:t xml:space="preserve"> have</w:t>
      </w:r>
      <w:proofErr w:type="gramEnd"/>
      <w:r>
        <w:rPr>
          <w:rFonts w:ascii="Cambria" w:hAnsi="Cambria" w:cs="Cambria"/>
          <w:color w:val="000000"/>
          <w:sz w:val="24"/>
          <w:szCs w:val="24"/>
        </w:rPr>
        <w:t xml:space="preserve"> been </w:t>
      </w:r>
      <w:r w:rsidR="0031206A">
        <w:rPr>
          <w:rFonts w:ascii="Cambria" w:hAnsi="Cambria" w:cs="Cambria"/>
          <w:color w:val="000000"/>
          <w:sz w:val="24"/>
          <w:szCs w:val="24"/>
        </w:rPr>
        <w:t>met.</w:t>
      </w:r>
    </w:p>
    <w:p w14:paraId="7BF4887A" w14:textId="5BBFDC53" w:rsidR="003805A9" w:rsidRDefault="003805A9">
      <w:pPr>
        <w:rPr>
          <w:rFonts w:ascii="Arial" w:hAnsi="Arial" w:cs="Arial"/>
          <w:sz w:val="24"/>
          <w:szCs w:val="24"/>
        </w:rPr>
      </w:pPr>
    </w:p>
    <w:p w14:paraId="095AC3EE" w14:textId="09437900" w:rsidR="00FE746A" w:rsidRDefault="00FE746A">
      <w:pPr>
        <w:rPr>
          <w:rFonts w:ascii="Arial" w:hAnsi="Arial" w:cs="Arial"/>
          <w:sz w:val="24"/>
          <w:szCs w:val="24"/>
        </w:rPr>
      </w:pPr>
      <w:r>
        <w:rPr>
          <w:rFonts w:ascii="Arial" w:hAnsi="Arial" w:cs="Arial"/>
          <w:sz w:val="24"/>
          <w:szCs w:val="24"/>
        </w:rPr>
        <w:t>Appendix 1</w:t>
      </w:r>
    </w:p>
    <w:p w14:paraId="7C85BBE1" w14:textId="77777777" w:rsidR="00FE746A" w:rsidRPr="003805A9" w:rsidRDefault="00FE746A">
      <w:pPr>
        <w:rPr>
          <w:rFonts w:ascii="Arial" w:hAnsi="Arial" w:cs="Arial"/>
          <w:sz w:val="24"/>
          <w:szCs w:val="24"/>
        </w:rPr>
      </w:pPr>
      <w:bookmarkStart w:id="12" w:name="_GoBack"/>
      <w:bookmarkEnd w:id="12"/>
    </w:p>
    <w:sectPr w:rsidR="00FE746A" w:rsidRPr="003805A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80DFF" w14:textId="77777777" w:rsidR="00942C42" w:rsidRDefault="00942C42" w:rsidP="00940B1C">
      <w:pPr>
        <w:spacing w:after="0" w:line="240" w:lineRule="auto"/>
      </w:pPr>
      <w:r>
        <w:separator/>
      </w:r>
    </w:p>
  </w:endnote>
  <w:endnote w:type="continuationSeparator" w:id="0">
    <w:p w14:paraId="5138689E" w14:textId="77777777" w:rsidR="00942C42" w:rsidRDefault="00942C42" w:rsidP="00940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20B0604020202020204"/>
    <w:charset w:val="00"/>
    <w:family w:val="auto"/>
    <w:notTrueType/>
    <w:pitch w:val="default"/>
    <w:sig w:usb0="00000003" w:usb1="00000000" w:usb2="00000000" w:usb3="00000000" w:csb0="00000001" w:csb1="00000000"/>
  </w:font>
  <w:font w:name="Cambria-Italic">
    <w:altName w:val="Cambria"/>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CE2D4" w14:textId="77777777" w:rsidR="00AC3003" w:rsidRDefault="00AC3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358EB" w14:textId="77777777" w:rsidR="00AC3003" w:rsidRDefault="00AC3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54161" w14:textId="77777777" w:rsidR="00AC3003" w:rsidRDefault="00AC3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DDA78" w14:textId="77777777" w:rsidR="00942C42" w:rsidRDefault="00942C42" w:rsidP="00940B1C">
      <w:pPr>
        <w:spacing w:after="0" w:line="240" w:lineRule="auto"/>
      </w:pPr>
      <w:r>
        <w:separator/>
      </w:r>
    </w:p>
  </w:footnote>
  <w:footnote w:type="continuationSeparator" w:id="0">
    <w:p w14:paraId="6563DB24" w14:textId="77777777" w:rsidR="00942C42" w:rsidRDefault="00942C42" w:rsidP="00940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3B0AC" w14:textId="77777777" w:rsidR="00AC3003" w:rsidRDefault="00AC3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982638"/>
      <w:docPartObj>
        <w:docPartGallery w:val="Watermarks"/>
        <w:docPartUnique/>
      </w:docPartObj>
    </w:sdtPr>
    <w:sdtEndPr/>
    <w:sdtContent>
      <w:p w14:paraId="2C1E16FD" w14:textId="6A85A0D6" w:rsidR="00AC3003" w:rsidRDefault="00942C42">
        <w:pPr>
          <w:pStyle w:val="Header"/>
        </w:pPr>
        <w:r>
          <w:rPr>
            <w:noProof/>
          </w:rPr>
          <w:pict w14:anchorId="6509F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7F28" w14:textId="77777777" w:rsidR="00AC3003" w:rsidRDefault="00AC3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D036E"/>
    <w:multiLevelType w:val="hybridMultilevel"/>
    <w:tmpl w:val="685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6D137E"/>
    <w:multiLevelType w:val="hybridMultilevel"/>
    <w:tmpl w:val="FEFA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540B84"/>
    <w:multiLevelType w:val="hybridMultilevel"/>
    <w:tmpl w:val="CB7E4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entury"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1C"/>
    <w:rsid w:val="000B359E"/>
    <w:rsid w:val="000C04FB"/>
    <w:rsid w:val="000D2B03"/>
    <w:rsid w:val="00127F21"/>
    <w:rsid w:val="00134CC4"/>
    <w:rsid w:val="0014557A"/>
    <w:rsid w:val="00170373"/>
    <w:rsid w:val="001E3FD7"/>
    <w:rsid w:val="001F2AD1"/>
    <w:rsid w:val="002225DD"/>
    <w:rsid w:val="002275A9"/>
    <w:rsid w:val="0031206A"/>
    <w:rsid w:val="00322C51"/>
    <w:rsid w:val="003805A9"/>
    <w:rsid w:val="00444531"/>
    <w:rsid w:val="00471ED8"/>
    <w:rsid w:val="00491CB0"/>
    <w:rsid w:val="004A76B8"/>
    <w:rsid w:val="00567308"/>
    <w:rsid w:val="0059406E"/>
    <w:rsid w:val="00694FA1"/>
    <w:rsid w:val="006A2FB0"/>
    <w:rsid w:val="006E142A"/>
    <w:rsid w:val="007F2945"/>
    <w:rsid w:val="008967D4"/>
    <w:rsid w:val="00897DA9"/>
    <w:rsid w:val="008A1247"/>
    <w:rsid w:val="008C051F"/>
    <w:rsid w:val="00933175"/>
    <w:rsid w:val="009363C6"/>
    <w:rsid w:val="00940B1C"/>
    <w:rsid w:val="00942C42"/>
    <w:rsid w:val="00A22234"/>
    <w:rsid w:val="00A96D2A"/>
    <w:rsid w:val="00AA7FB7"/>
    <w:rsid w:val="00AC0A32"/>
    <w:rsid w:val="00AC3003"/>
    <w:rsid w:val="00AD4B71"/>
    <w:rsid w:val="00B101B5"/>
    <w:rsid w:val="00B238D8"/>
    <w:rsid w:val="00BB5B0D"/>
    <w:rsid w:val="00C57E0E"/>
    <w:rsid w:val="00C65726"/>
    <w:rsid w:val="00DD63A2"/>
    <w:rsid w:val="00E00FF0"/>
    <w:rsid w:val="00E264DB"/>
    <w:rsid w:val="00ED4AE8"/>
    <w:rsid w:val="00EE269D"/>
    <w:rsid w:val="00FC7D5A"/>
    <w:rsid w:val="00FE7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9C1455"/>
  <w15:chartTrackingRefBased/>
  <w15:docId w15:val="{A2275DCF-0F2A-4B83-B7C7-D3FAB027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0B1C"/>
    <w:pPr>
      <w:keepNext/>
      <w:spacing w:after="0" w:line="240" w:lineRule="auto"/>
      <w:outlineLvl w:val="0"/>
    </w:pPr>
    <w:rPr>
      <w:rFonts w:ascii="Arial" w:eastAsia="MS Gothic" w:hAnsi="Arial" w:cs="Times New Roman"/>
      <w:sz w:val="24"/>
      <w:szCs w:val="24"/>
      <w:lang w:eastAsia="ja-JP"/>
    </w:rPr>
  </w:style>
  <w:style w:type="paragraph" w:styleId="Heading2">
    <w:name w:val="heading 2"/>
    <w:basedOn w:val="Normal"/>
    <w:next w:val="Normal"/>
    <w:link w:val="Heading2Char"/>
    <w:uiPriority w:val="9"/>
    <w:unhideWhenUsed/>
    <w:qFormat/>
    <w:rsid w:val="00DD63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B1C"/>
    <w:rPr>
      <w:rFonts w:ascii="Segoe UI" w:hAnsi="Segoe UI" w:cs="Segoe UI"/>
      <w:sz w:val="18"/>
      <w:szCs w:val="18"/>
    </w:rPr>
  </w:style>
  <w:style w:type="paragraph" w:styleId="Header">
    <w:name w:val="header"/>
    <w:basedOn w:val="Normal"/>
    <w:link w:val="HeaderChar"/>
    <w:uiPriority w:val="99"/>
    <w:unhideWhenUsed/>
    <w:rsid w:val="00940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B1C"/>
  </w:style>
  <w:style w:type="paragraph" w:styleId="Footer">
    <w:name w:val="footer"/>
    <w:basedOn w:val="Normal"/>
    <w:link w:val="FooterChar"/>
    <w:uiPriority w:val="99"/>
    <w:unhideWhenUsed/>
    <w:rsid w:val="00940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B1C"/>
  </w:style>
  <w:style w:type="character" w:customStyle="1" w:styleId="Heading1Char">
    <w:name w:val="Heading 1 Char"/>
    <w:basedOn w:val="DefaultParagraphFont"/>
    <w:link w:val="Heading1"/>
    <w:rsid w:val="00940B1C"/>
    <w:rPr>
      <w:rFonts w:ascii="Arial" w:eastAsia="MS Gothic" w:hAnsi="Arial" w:cs="Times New Roman"/>
      <w:sz w:val="24"/>
      <w:szCs w:val="24"/>
      <w:lang w:eastAsia="ja-JP"/>
    </w:rPr>
  </w:style>
  <w:style w:type="paragraph" w:styleId="Caption">
    <w:name w:val="caption"/>
    <w:basedOn w:val="Normal"/>
    <w:next w:val="Normal"/>
    <w:qFormat/>
    <w:rsid w:val="0059406E"/>
    <w:pPr>
      <w:spacing w:before="120" w:after="120" w:line="240" w:lineRule="auto"/>
    </w:pPr>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DD63A2"/>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3805A9"/>
    <w:rPr>
      <w:sz w:val="16"/>
      <w:szCs w:val="16"/>
    </w:rPr>
  </w:style>
  <w:style w:type="paragraph" w:styleId="CommentText">
    <w:name w:val="annotation text"/>
    <w:basedOn w:val="Normal"/>
    <w:link w:val="CommentTextChar"/>
    <w:uiPriority w:val="99"/>
    <w:semiHidden/>
    <w:unhideWhenUsed/>
    <w:rsid w:val="003805A9"/>
    <w:pPr>
      <w:spacing w:line="240" w:lineRule="auto"/>
    </w:pPr>
    <w:rPr>
      <w:sz w:val="20"/>
      <w:szCs w:val="20"/>
    </w:rPr>
  </w:style>
  <w:style w:type="character" w:customStyle="1" w:styleId="CommentTextChar">
    <w:name w:val="Comment Text Char"/>
    <w:basedOn w:val="DefaultParagraphFont"/>
    <w:link w:val="CommentText"/>
    <w:uiPriority w:val="99"/>
    <w:semiHidden/>
    <w:rsid w:val="003805A9"/>
    <w:rPr>
      <w:sz w:val="20"/>
      <w:szCs w:val="20"/>
    </w:rPr>
  </w:style>
  <w:style w:type="paragraph" w:styleId="CommentSubject">
    <w:name w:val="annotation subject"/>
    <w:basedOn w:val="CommentText"/>
    <w:next w:val="CommentText"/>
    <w:link w:val="CommentSubjectChar"/>
    <w:uiPriority w:val="99"/>
    <w:semiHidden/>
    <w:unhideWhenUsed/>
    <w:rsid w:val="003805A9"/>
    <w:rPr>
      <w:b/>
      <w:bCs/>
    </w:rPr>
  </w:style>
  <w:style w:type="character" w:customStyle="1" w:styleId="CommentSubjectChar">
    <w:name w:val="Comment Subject Char"/>
    <w:basedOn w:val="CommentTextChar"/>
    <w:link w:val="CommentSubject"/>
    <w:uiPriority w:val="99"/>
    <w:semiHidden/>
    <w:rsid w:val="003805A9"/>
    <w:rPr>
      <w:b/>
      <w:bCs/>
      <w:sz w:val="20"/>
      <w:szCs w:val="20"/>
    </w:rPr>
  </w:style>
  <w:style w:type="table" w:styleId="TableGrid">
    <w:name w:val="Table Grid"/>
    <w:basedOn w:val="TableNormal"/>
    <w:uiPriority w:val="39"/>
    <w:rsid w:val="00380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Cost Profile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Sheet1!$B$3:$F$3</c:f>
              <c:strCache>
                <c:ptCount val="5"/>
                <c:pt idx="0">
                  <c:v>FY2019</c:v>
                </c:pt>
                <c:pt idx="1">
                  <c:v>FY2020</c:v>
                </c:pt>
                <c:pt idx="2">
                  <c:v>FY2021</c:v>
                </c:pt>
                <c:pt idx="3">
                  <c:v>FY2022</c:v>
                </c:pt>
                <c:pt idx="4">
                  <c:v>FY2023</c:v>
                </c:pt>
              </c:strCache>
            </c:strRef>
          </c:cat>
          <c:val>
            <c:numRef>
              <c:f>Sheet1!$B$4:$F$4</c:f>
              <c:numCache>
                <c:formatCode>General</c:formatCode>
                <c:ptCount val="5"/>
                <c:pt idx="0">
                  <c:v>991</c:v>
                </c:pt>
                <c:pt idx="1">
                  <c:v>1777</c:v>
                </c:pt>
                <c:pt idx="2">
                  <c:v>481</c:v>
                </c:pt>
                <c:pt idx="3">
                  <c:v>309</c:v>
                </c:pt>
                <c:pt idx="4">
                  <c:v>51</c:v>
                </c:pt>
              </c:numCache>
            </c:numRef>
          </c:val>
          <c:extLst>
            <c:ext xmlns:c16="http://schemas.microsoft.com/office/drawing/2014/chart" uri="{C3380CC4-5D6E-409C-BE32-E72D297353CC}">
              <c16:uniqueId val="{00000000-E9BD-4B25-A0D1-CE5F06626B77}"/>
            </c:ext>
          </c:extLst>
        </c:ser>
        <c:dLbls>
          <c:showLegendKey val="0"/>
          <c:showVal val="0"/>
          <c:showCatName val="0"/>
          <c:showSerName val="0"/>
          <c:showPercent val="0"/>
          <c:showBubbleSize val="0"/>
        </c:dLbls>
        <c:gapWidth val="219"/>
        <c:overlap val="-27"/>
        <c:axId val="569054224"/>
        <c:axId val="569048648"/>
      </c:barChart>
      <c:catAx>
        <c:axId val="56905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048648"/>
        <c:crosses val="autoZero"/>
        <c:auto val="1"/>
        <c:lblAlgn val="ctr"/>
        <c:lblOffset val="100"/>
        <c:noMultiLvlLbl val="0"/>
      </c:catAx>
      <c:valAx>
        <c:axId val="569048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054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3323</Words>
  <Characters>18944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Lee</dc:creator>
  <cp:keywords/>
  <dc:description/>
  <cp:lastModifiedBy>Ming Liu</cp:lastModifiedBy>
  <cp:revision>7</cp:revision>
  <cp:lastPrinted>2019-06-26T17:56:00Z</cp:lastPrinted>
  <dcterms:created xsi:type="dcterms:W3CDTF">2019-07-08T18:46:00Z</dcterms:created>
  <dcterms:modified xsi:type="dcterms:W3CDTF">2019-07-16T17:57:00Z</dcterms:modified>
</cp:coreProperties>
</file>